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ECF2" w14:textId="213FA6F2" w:rsidR="0031309D" w:rsidRPr="00016F07" w:rsidRDefault="0031309D" w:rsidP="00E55DF7">
      <w:pPr>
        <w:pStyle w:val="Heading2"/>
        <w:spacing w:after="120"/>
        <w:rPr>
          <w:color w:val="00A8BD"/>
          <w:sz w:val="32"/>
          <w:szCs w:val="32"/>
        </w:rPr>
      </w:pPr>
      <w:r w:rsidRPr="00016F07">
        <w:rPr>
          <w:color w:val="00A8BD"/>
          <w:sz w:val="32"/>
          <w:szCs w:val="32"/>
        </w:rPr>
        <w:t>Data Processed Register Template</w:t>
      </w:r>
    </w:p>
    <w:p w14:paraId="41F59EA9" w14:textId="21F45068" w:rsidR="00E55DF7" w:rsidRPr="00016F07" w:rsidRDefault="00E55DF7" w:rsidP="00E55DF7">
      <w:pPr>
        <w:pStyle w:val="paragraph"/>
        <w:spacing w:before="0" w:beforeAutospacing="0" w:after="0" w:afterAutospacing="0"/>
        <w:textAlignment w:val="baseline"/>
        <w:rPr>
          <w:rStyle w:val="eop"/>
          <w:rFonts w:ascii="Arial" w:hAnsi="Arial" w:cs="Arial"/>
          <w:color w:val="00A8BD"/>
        </w:rPr>
      </w:pPr>
      <w:r w:rsidRPr="00016F07">
        <w:rPr>
          <w:rStyle w:val="normaltextrun"/>
          <w:rFonts w:ascii="Arial" w:eastAsia="Calibri" w:hAnsi="Arial" w:cs="Arial"/>
          <w:b/>
          <w:bCs/>
          <w:color w:val="00A8BD"/>
        </w:rPr>
        <w:t>Guidance Notes</w:t>
      </w:r>
      <w:r w:rsidRPr="00016F07">
        <w:rPr>
          <w:rStyle w:val="eop"/>
          <w:rFonts w:ascii="Arial" w:hAnsi="Arial" w:cs="Arial"/>
          <w:color w:val="00A8BD"/>
        </w:rPr>
        <w:t> </w:t>
      </w:r>
    </w:p>
    <w:p w14:paraId="34BD6BFD" w14:textId="77777777" w:rsidR="00E55DF7" w:rsidRPr="00E55DF7" w:rsidRDefault="00E55DF7" w:rsidP="00E55DF7">
      <w:pPr>
        <w:pStyle w:val="paragraph"/>
        <w:spacing w:before="0" w:beforeAutospacing="0" w:after="0" w:afterAutospacing="0"/>
        <w:textAlignment w:val="baseline"/>
        <w:rPr>
          <w:rFonts w:ascii="Segoe UI" w:hAnsi="Segoe UI" w:cs="Segoe UI"/>
          <w:sz w:val="18"/>
          <w:szCs w:val="18"/>
        </w:rPr>
      </w:pPr>
    </w:p>
    <w:p w14:paraId="0F316271" w14:textId="151FA741" w:rsidR="00707068" w:rsidRPr="004C1244" w:rsidRDefault="00707068" w:rsidP="00707068">
      <w:pPr>
        <w:spacing w:after="120" w:line="240" w:lineRule="auto"/>
        <w:jc w:val="both"/>
        <w:rPr>
          <w:rFonts w:ascii="Arial" w:hAnsi="Arial" w:cs="Arial"/>
        </w:rPr>
      </w:pPr>
      <w:r w:rsidRPr="004C1244">
        <w:rPr>
          <w:rFonts w:ascii="Arial" w:hAnsi="Arial" w:cs="Arial"/>
          <w:highlight w:val="white"/>
        </w:rPr>
        <w:t>The first Principle of the GDPR requires that you process all personal data lawfully, fairly and in a transparent manner. Processing is only lawful if you have a lawful basis. To comply with the accountability requirement of GDPR, you must also be able to demonstrate that a lawful basis applies.</w:t>
      </w:r>
    </w:p>
    <w:p w14:paraId="7B9C45AC" w14:textId="4180613E" w:rsidR="00D24F49" w:rsidRPr="004C1244" w:rsidRDefault="00D24F49" w:rsidP="00D24F49">
      <w:pPr>
        <w:spacing w:after="120" w:line="240" w:lineRule="auto"/>
        <w:jc w:val="both"/>
        <w:rPr>
          <w:rFonts w:ascii="Arial" w:hAnsi="Arial" w:cs="Arial"/>
        </w:rPr>
      </w:pPr>
      <w:r w:rsidRPr="004C1244">
        <w:rPr>
          <w:rFonts w:ascii="Arial" w:hAnsi="Arial" w:cs="Arial"/>
        </w:rPr>
        <w:t xml:space="preserve">Part of your documentation requirement can be met by completing the following ‘Data Processed Register’. You may have an alternative version you already use, and that is fine. </w:t>
      </w:r>
    </w:p>
    <w:p w14:paraId="3529CEEC" w14:textId="77777777" w:rsidR="00D24F49" w:rsidRPr="004C1244" w:rsidRDefault="00D24F49" w:rsidP="00D24F49">
      <w:pPr>
        <w:spacing w:after="120" w:line="240" w:lineRule="auto"/>
        <w:jc w:val="both"/>
        <w:rPr>
          <w:rFonts w:ascii="Arial" w:hAnsi="Arial" w:cs="Arial"/>
        </w:rPr>
      </w:pPr>
      <w:r w:rsidRPr="004C1244">
        <w:rPr>
          <w:rFonts w:ascii="Arial" w:hAnsi="Arial" w:cs="Arial"/>
        </w:rPr>
        <w:t xml:space="preserve">This is often found to be the most complex task in UK GDPR compliance, and we have tried to make it as straightforward as possible with the following guidance.  </w:t>
      </w:r>
    </w:p>
    <w:p w14:paraId="6E133098" w14:textId="67B8A4A0" w:rsidR="00D24F49" w:rsidRPr="004C1244" w:rsidRDefault="00D24F49" w:rsidP="00D24F49">
      <w:pPr>
        <w:spacing w:after="120" w:line="240" w:lineRule="auto"/>
        <w:jc w:val="both"/>
        <w:rPr>
          <w:rFonts w:ascii="Arial" w:hAnsi="Arial" w:cs="Arial"/>
        </w:rPr>
      </w:pPr>
      <w:r w:rsidRPr="004C1244">
        <w:rPr>
          <w:rFonts w:ascii="Arial" w:hAnsi="Arial" w:cs="Arial"/>
        </w:rPr>
        <w:t xml:space="preserve">In all likelihood, this is the document that will take you most effort to complete.  </w:t>
      </w:r>
    </w:p>
    <w:p w14:paraId="7A601B90" w14:textId="5CE200C3" w:rsidR="00D24F49" w:rsidRPr="004C1244" w:rsidRDefault="00D24F49" w:rsidP="00D24F49">
      <w:pPr>
        <w:spacing w:after="120" w:line="240" w:lineRule="auto"/>
        <w:rPr>
          <w:rFonts w:ascii="Arial" w:hAnsi="Arial" w:cs="Arial"/>
        </w:rPr>
      </w:pPr>
      <w:r w:rsidRPr="004C1244">
        <w:rPr>
          <w:rFonts w:ascii="Arial" w:hAnsi="Arial" w:cs="Arial"/>
        </w:rPr>
        <w:t xml:space="preserve">Additional guidance is available at: </w:t>
      </w:r>
      <w:hyperlink r:id="rId11" w:history="1">
        <w:r w:rsidRPr="004C1244">
          <w:rPr>
            <w:rStyle w:val="Hyperlink"/>
            <w:rFonts w:ascii="Arial" w:hAnsi="Arial" w:cs="Arial"/>
          </w:rPr>
          <w:t>https://ico.org.uk/for-organisations/guide-to-data-protection/guide-to-the-general-data-protection-regulation-gdpr/lawful-basis-for-processing/</w:t>
        </w:r>
      </w:hyperlink>
    </w:p>
    <w:p w14:paraId="749A3196" w14:textId="77777777" w:rsidR="00707068" w:rsidRPr="004C1244" w:rsidRDefault="00707068" w:rsidP="00707068">
      <w:pPr>
        <w:pBdr>
          <w:top w:val="nil"/>
          <w:left w:val="nil"/>
          <w:bottom w:val="nil"/>
          <w:right w:val="nil"/>
          <w:between w:val="nil"/>
        </w:pBdr>
        <w:spacing w:after="120" w:line="240" w:lineRule="auto"/>
        <w:jc w:val="both"/>
        <w:rPr>
          <w:rFonts w:ascii="Arial" w:hAnsi="Arial" w:cs="Arial"/>
        </w:rPr>
      </w:pPr>
      <w:r w:rsidRPr="004C1244">
        <w:rPr>
          <w:rFonts w:ascii="Arial" w:hAnsi="Arial" w:cs="Arial"/>
        </w:rPr>
        <w:t>The lawful bases for processing set out in Article 6 of the GDPR are summarised below and at least one of these must apply whenever you process personal data:           </w:t>
      </w:r>
    </w:p>
    <w:p w14:paraId="5A6D2B98" w14:textId="77777777" w:rsidR="00707068" w:rsidRPr="004C1244" w:rsidRDefault="00707068" w:rsidP="00707068">
      <w:pPr>
        <w:pBdr>
          <w:top w:val="nil"/>
          <w:left w:val="nil"/>
          <w:bottom w:val="nil"/>
          <w:right w:val="nil"/>
          <w:between w:val="nil"/>
        </w:pBdr>
        <w:spacing w:after="120" w:line="240" w:lineRule="auto"/>
        <w:ind w:left="720"/>
        <w:jc w:val="both"/>
        <w:rPr>
          <w:rFonts w:ascii="Arial" w:hAnsi="Arial" w:cs="Arial"/>
        </w:rPr>
      </w:pPr>
      <w:r w:rsidRPr="004C1244">
        <w:rPr>
          <w:rFonts w:ascii="Arial" w:hAnsi="Arial" w:cs="Arial"/>
          <w:b/>
        </w:rPr>
        <w:t>(a) Consent: </w:t>
      </w:r>
      <w:r w:rsidRPr="004C1244">
        <w:rPr>
          <w:rFonts w:ascii="Arial" w:hAnsi="Arial" w:cs="Arial"/>
        </w:rPr>
        <w:t xml:space="preserve">the individual has given clear consent for you to process their personal data for a specific </w:t>
      </w:r>
      <w:proofErr w:type="gramStart"/>
      <w:r w:rsidRPr="004C1244">
        <w:rPr>
          <w:rFonts w:ascii="Arial" w:hAnsi="Arial" w:cs="Arial"/>
        </w:rPr>
        <w:t>purpose;</w:t>
      </w:r>
      <w:proofErr w:type="gramEnd"/>
    </w:p>
    <w:p w14:paraId="292E59D6" w14:textId="77777777" w:rsidR="00707068" w:rsidRPr="004C1244" w:rsidRDefault="00707068" w:rsidP="00707068">
      <w:pPr>
        <w:pBdr>
          <w:top w:val="nil"/>
          <w:left w:val="nil"/>
          <w:bottom w:val="nil"/>
          <w:right w:val="nil"/>
          <w:between w:val="nil"/>
        </w:pBdr>
        <w:spacing w:after="120" w:line="240" w:lineRule="auto"/>
        <w:ind w:left="720"/>
        <w:jc w:val="both"/>
        <w:rPr>
          <w:rFonts w:ascii="Arial" w:hAnsi="Arial" w:cs="Arial"/>
        </w:rPr>
      </w:pPr>
      <w:r w:rsidRPr="004C1244">
        <w:rPr>
          <w:rFonts w:ascii="Arial" w:hAnsi="Arial" w:cs="Arial"/>
          <w:b/>
        </w:rPr>
        <w:t>(b) Contract: </w:t>
      </w:r>
      <w:r w:rsidRPr="004C1244">
        <w:rPr>
          <w:rFonts w:ascii="Arial" w:hAnsi="Arial" w:cs="Arial"/>
        </w:rPr>
        <w:t xml:space="preserve">the processing is necessary for a contract you have with the individual, or because they have asked you to take specific steps before entering into a </w:t>
      </w:r>
      <w:proofErr w:type="gramStart"/>
      <w:r w:rsidRPr="004C1244">
        <w:rPr>
          <w:rFonts w:ascii="Arial" w:hAnsi="Arial" w:cs="Arial"/>
        </w:rPr>
        <w:t>contract;</w:t>
      </w:r>
      <w:proofErr w:type="gramEnd"/>
    </w:p>
    <w:p w14:paraId="723924A1" w14:textId="77777777" w:rsidR="00707068" w:rsidRPr="004C1244" w:rsidRDefault="00707068" w:rsidP="00707068">
      <w:pPr>
        <w:pBdr>
          <w:top w:val="nil"/>
          <w:left w:val="nil"/>
          <w:bottom w:val="nil"/>
          <w:right w:val="nil"/>
          <w:between w:val="nil"/>
        </w:pBdr>
        <w:spacing w:after="120" w:line="240" w:lineRule="auto"/>
        <w:ind w:left="720"/>
        <w:jc w:val="both"/>
        <w:rPr>
          <w:rFonts w:ascii="Arial" w:hAnsi="Arial" w:cs="Arial"/>
        </w:rPr>
      </w:pPr>
      <w:r w:rsidRPr="004C1244">
        <w:rPr>
          <w:rFonts w:ascii="Arial" w:hAnsi="Arial" w:cs="Arial"/>
          <w:b/>
        </w:rPr>
        <w:t>(c) Legal obligation: </w:t>
      </w:r>
      <w:r w:rsidRPr="004C1244">
        <w:rPr>
          <w:rFonts w:ascii="Arial" w:hAnsi="Arial" w:cs="Arial"/>
        </w:rPr>
        <w:t>the processing is necessary for you to comply with the law (not including contractual obligations</w:t>
      </w:r>
      <w:proofErr w:type="gramStart"/>
      <w:r w:rsidRPr="004C1244">
        <w:rPr>
          <w:rFonts w:ascii="Arial" w:hAnsi="Arial" w:cs="Arial"/>
        </w:rPr>
        <w:t>);</w:t>
      </w:r>
      <w:proofErr w:type="gramEnd"/>
    </w:p>
    <w:p w14:paraId="153F360B" w14:textId="77777777" w:rsidR="00707068" w:rsidRPr="004C1244" w:rsidRDefault="00707068" w:rsidP="00707068">
      <w:pPr>
        <w:pBdr>
          <w:top w:val="nil"/>
          <w:left w:val="nil"/>
          <w:bottom w:val="nil"/>
          <w:right w:val="nil"/>
          <w:between w:val="nil"/>
        </w:pBdr>
        <w:spacing w:after="120" w:line="240" w:lineRule="auto"/>
        <w:ind w:left="720"/>
        <w:jc w:val="both"/>
        <w:rPr>
          <w:rFonts w:ascii="Arial" w:hAnsi="Arial" w:cs="Arial"/>
        </w:rPr>
      </w:pPr>
      <w:r w:rsidRPr="004C1244">
        <w:rPr>
          <w:rFonts w:ascii="Arial" w:hAnsi="Arial" w:cs="Arial"/>
          <w:b/>
        </w:rPr>
        <w:t>(d) Vital interests: </w:t>
      </w:r>
      <w:r w:rsidRPr="004C1244">
        <w:rPr>
          <w:rFonts w:ascii="Arial" w:hAnsi="Arial" w:cs="Arial"/>
        </w:rPr>
        <w:t xml:space="preserve">the processing is necessary to protect someone’s </w:t>
      </w:r>
      <w:proofErr w:type="gramStart"/>
      <w:r w:rsidRPr="004C1244">
        <w:rPr>
          <w:rFonts w:ascii="Arial" w:hAnsi="Arial" w:cs="Arial"/>
        </w:rPr>
        <w:t>life;</w:t>
      </w:r>
      <w:proofErr w:type="gramEnd"/>
    </w:p>
    <w:p w14:paraId="3508F9B8" w14:textId="77777777" w:rsidR="00707068" w:rsidRPr="004C1244" w:rsidRDefault="00707068" w:rsidP="00707068">
      <w:pPr>
        <w:pBdr>
          <w:top w:val="nil"/>
          <w:left w:val="nil"/>
          <w:bottom w:val="nil"/>
          <w:right w:val="nil"/>
          <w:between w:val="nil"/>
        </w:pBdr>
        <w:spacing w:after="120" w:line="240" w:lineRule="auto"/>
        <w:ind w:left="720"/>
        <w:jc w:val="both"/>
        <w:rPr>
          <w:rFonts w:ascii="Arial" w:hAnsi="Arial" w:cs="Arial"/>
        </w:rPr>
      </w:pPr>
      <w:r w:rsidRPr="004C1244">
        <w:rPr>
          <w:rFonts w:ascii="Arial" w:hAnsi="Arial" w:cs="Arial"/>
          <w:b/>
        </w:rPr>
        <w:t>(e) Public task: </w:t>
      </w:r>
      <w:r w:rsidRPr="004C1244">
        <w:rPr>
          <w:rFonts w:ascii="Arial" w:hAnsi="Arial" w:cs="Arial"/>
        </w:rPr>
        <w:t>the processing is necessary for you to perform a task in the public interest or for your official functions, and the task or function has a clear basis in law; and/or</w:t>
      </w:r>
    </w:p>
    <w:p w14:paraId="3460EAC0" w14:textId="77777777" w:rsidR="00707068" w:rsidRPr="004C1244" w:rsidRDefault="00707068" w:rsidP="00707068">
      <w:pPr>
        <w:pBdr>
          <w:top w:val="nil"/>
          <w:left w:val="nil"/>
          <w:bottom w:val="nil"/>
          <w:right w:val="nil"/>
          <w:between w:val="nil"/>
        </w:pBdr>
        <w:spacing w:after="120" w:line="240" w:lineRule="auto"/>
        <w:ind w:left="720"/>
        <w:jc w:val="both"/>
        <w:rPr>
          <w:rFonts w:ascii="Arial" w:hAnsi="Arial" w:cs="Arial"/>
        </w:rPr>
      </w:pPr>
      <w:r w:rsidRPr="004C1244">
        <w:rPr>
          <w:rFonts w:ascii="Arial" w:hAnsi="Arial" w:cs="Arial"/>
          <w:b/>
        </w:rPr>
        <w:t>(f) Legitimate interests: </w:t>
      </w:r>
      <w:r w:rsidRPr="004C1244">
        <w:rPr>
          <w:rFonts w:ascii="Arial" w:hAnsi="Arial" w:cs="Arial"/>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051A989A" w14:textId="77777777" w:rsidR="00707068" w:rsidRPr="004C1244" w:rsidRDefault="00707068" w:rsidP="00707068">
      <w:pPr>
        <w:spacing w:after="120" w:line="240" w:lineRule="auto"/>
        <w:jc w:val="both"/>
        <w:rPr>
          <w:rFonts w:ascii="Arial" w:hAnsi="Arial" w:cs="Arial"/>
        </w:rPr>
      </w:pPr>
      <w:r w:rsidRPr="004C1244">
        <w:rPr>
          <w:rFonts w:ascii="Arial" w:hAnsi="Arial" w:cs="Arial"/>
          <w:highlight w:val="white"/>
        </w:rPr>
        <w:t xml:space="preserve">If you are processing special category data, you should document both your lawful basis for processing and your </w:t>
      </w:r>
      <w:proofErr w:type="gramStart"/>
      <w:r w:rsidRPr="004C1244">
        <w:rPr>
          <w:rFonts w:ascii="Arial" w:hAnsi="Arial" w:cs="Arial"/>
          <w:highlight w:val="white"/>
        </w:rPr>
        <w:t>Article</w:t>
      </w:r>
      <w:proofErr w:type="gramEnd"/>
      <w:r w:rsidRPr="004C1244">
        <w:rPr>
          <w:rFonts w:ascii="Arial" w:hAnsi="Arial" w:cs="Arial"/>
          <w:highlight w:val="white"/>
        </w:rPr>
        <w:t xml:space="preserve"> 9 special category condition so that you can demonstrate compliance and accountability.</w:t>
      </w:r>
    </w:p>
    <w:p w14:paraId="685CFF0B" w14:textId="77777777" w:rsidR="00707068" w:rsidRPr="004C1244" w:rsidRDefault="00707068" w:rsidP="00707068">
      <w:pPr>
        <w:spacing w:after="120" w:line="240" w:lineRule="auto"/>
        <w:jc w:val="both"/>
        <w:rPr>
          <w:rFonts w:ascii="Arial" w:hAnsi="Arial" w:cs="Arial"/>
          <w:highlight w:val="white"/>
        </w:rPr>
      </w:pPr>
      <w:r w:rsidRPr="004C1244">
        <w:rPr>
          <w:rFonts w:ascii="Arial" w:hAnsi="Arial" w:cs="Arial"/>
          <w:highlight w:val="white"/>
        </w:rPr>
        <w:t>The Article 9 conditions are:</w:t>
      </w:r>
    </w:p>
    <w:p w14:paraId="52B1448D" w14:textId="77777777" w:rsidR="00707068" w:rsidRPr="004C1244" w:rsidRDefault="00707068" w:rsidP="00707068">
      <w:pPr>
        <w:numPr>
          <w:ilvl w:val="0"/>
          <w:numId w:val="3"/>
        </w:numPr>
        <w:pBdr>
          <w:top w:val="nil"/>
          <w:left w:val="nil"/>
          <w:bottom w:val="nil"/>
          <w:right w:val="nil"/>
          <w:between w:val="nil"/>
        </w:pBdr>
        <w:spacing w:after="0" w:line="240" w:lineRule="auto"/>
        <w:contextualSpacing/>
        <w:jc w:val="both"/>
        <w:rPr>
          <w:rFonts w:ascii="Arial" w:hAnsi="Arial" w:cs="Arial"/>
        </w:rPr>
      </w:pPr>
      <w:r w:rsidRPr="004C1244">
        <w:rPr>
          <w:rFonts w:ascii="Arial" w:hAnsi="Arial" w:cs="Arial"/>
        </w:rPr>
        <w:t xml:space="preserve">the data subject has given explicit </w:t>
      </w:r>
      <w:r w:rsidRPr="004C1244">
        <w:rPr>
          <w:rFonts w:ascii="Arial" w:hAnsi="Arial" w:cs="Arial"/>
          <w:b/>
        </w:rPr>
        <w:t xml:space="preserve">consent </w:t>
      </w:r>
      <w:r w:rsidRPr="004C1244">
        <w:rPr>
          <w:rFonts w:ascii="Arial" w:hAnsi="Arial" w:cs="Arial"/>
        </w:rPr>
        <w:t xml:space="preserve">to the processing of those personal data for one or more specified purposes, except where Union or Member State law provide that the prohibition referred to in paragraph 1 may not be lifted by the data </w:t>
      </w:r>
      <w:proofErr w:type="gramStart"/>
      <w:r w:rsidRPr="004C1244">
        <w:rPr>
          <w:rFonts w:ascii="Arial" w:hAnsi="Arial" w:cs="Arial"/>
        </w:rPr>
        <w:t>subject;</w:t>
      </w:r>
      <w:proofErr w:type="gramEnd"/>
    </w:p>
    <w:p w14:paraId="759FC337" w14:textId="77777777" w:rsidR="00707068" w:rsidRPr="004C1244" w:rsidRDefault="00707068" w:rsidP="00707068">
      <w:pPr>
        <w:numPr>
          <w:ilvl w:val="0"/>
          <w:numId w:val="3"/>
        </w:numPr>
        <w:pBdr>
          <w:top w:val="nil"/>
          <w:left w:val="nil"/>
          <w:bottom w:val="nil"/>
          <w:right w:val="nil"/>
          <w:between w:val="nil"/>
        </w:pBdr>
        <w:spacing w:after="0" w:line="240" w:lineRule="auto"/>
        <w:contextualSpacing/>
        <w:jc w:val="both"/>
        <w:rPr>
          <w:rFonts w:ascii="Arial" w:hAnsi="Arial" w:cs="Arial"/>
        </w:rPr>
      </w:pPr>
      <w:r w:rsidRPr="004C1244">
        <w:rPr>
          <w:rFonts w:ascii="Arial" w:hAnsi="Arial" w:cs="Arial"/>
        </w:rPr>
        <w:t xml:space="preserve">processing is necessary for the purposes of carrying out the obligations and exercising specific rights of the controller or of the data subject in the field of </w:t>
      </w:r>
      <w:r w:rsidRPr="004C1244">
        <w:rPr>
          <w:rFonts w:ascii="Arial" w:hAnsi="Arial" w:cs="Arial"/>
          <w:b/>
        </w:rPr>
        <w:t>employment and social security and social protection law</w:t>
      </w:r>
      <w:r w:rsidRPr="004C1244">
        <w:rPr>
          <w:rFonts w:ascii="Arial" w:hAnsi="Arial" w:cs="Arial"/>
        </w:rPr>
        <w:t xml:space="preserve"> in so far as it is authorised by Union or Member State law or a collective agreement pursuant to Member State law providing for appropriate safeguards for the fundamental rights and the interests of the data </w:t>
      </w:r>
      <w:proofErr w:type="gramStart"/>
      <w:r w:rsidRPr="004C1244">
        <w:rPr>
          <w:rFonts w:ascii="Arial" w:hAnsi="Arial" w:cs="Arial"/>
        </w:rPr>
        <w:t>subject;</w:t>
      </w:r>
      <w:proofErr w:type="gramEnd"/>
    </w:p>
    <w:p w14:paraId="0D1107B3" w14:textId="77777777" w:rsidR="00707068" w:rsidRPr="004C1244" w:rsidRDefault="00707068" w:rsidP="00707068">
      <w:pPr>
        <w:numPr>
          <w:ilvl w:val="0"/>
          <w:numId w:val="3"/>
        </w:numPr>
        <w:pBdr>
          <w:top w:val="nil"/>
          <w:left w:val="nil"/>
          <w:bottom w:val="nil"/>
          <w:right w:val="nil"/>
          <w:between w:val="nil"/>
        </w:pBdr>
        <w:spacing w:after="0" w:line="240" w:lineRule="auto"/>
        <w:contextualSpacing/>
        <w:jc w:val="both"/>
        <w:rPr>
          <w:rFonts w:ascii="Arial" w:hAnsi="Arial" w:cs="Arial"/>
        </w:rPr>
      </w:pPr>
      <w:r w:rsidRPr="004C1244">
        <w:rPr>
          <w:rFonts w:ascii="Arial" w:hAnsi="Arial" w:cs="Arial"/>
        </w:rPr>
        <w:t xml:space="preserve">processing is necessary to protect the </w:t>
      </w:r>
      <w:r w:rsidRPr="004C1244">
        <w:rPr>
          <w:rFonts w:ascii="Arial" w:hAnsi="Arial" w:cs="Arial"/>
          <w:b/>
        </w:rPr>
        <w:t>vital interests</w:t>
      </w:r>
      <w:r w:rsidRPr="004C1244">
        <w:rPr>
          <w:rFonts w:ascii="Arial" w:hAnsi="Arial" w:cs="Arial"/>
        </w:rPr>
        <w:t xml:space="preserve"> of the data subject or of another natural person where the data subject is physically or legally incapable of giving </w:t>
      </w:r>
      <w:proofErr w:type="gramStart"/>
      <w:r w:rsidRPr="004C1244">
        <w:rPr>
          <w:rFonts w:ascii="Arial" w:hAnsi="Arial" w:cs="Arial"/>
        </w:rPr>
        <w:t>consent;</w:t>
      </w:r>
      <w:proofErr w:type="gramEnd"/>
    </w:p>
    <w:p w14:paraId="61611519" w14:textId="77777777" w:rsidR="00707068" w:rsidRPr="004C1244" w:rsidRDefault="00707068" w:rsidP="00707068">
      <w:pPr>
        <w:numPr>
          <w:ilvl w:val="0"/>
          <w:numId w:val="3"/>
        </w:numPr>
        <w:pBdr>
          <w:top w:val="nil"/>
          <w:left w:val="nil"/>
          <w:bottom w:val="nil"/>
          <w:right w:val="nil"/>
          <w:between w:val="nil"/>
        </w:pBdr>
        <w:spacing w:after="0" w:line="240" w:lineRule="auto"/>
        <w:contextualSpacing/>
        <w:jc w:val="both"/>
        <w:rPr>
          <w:rFonts w:ascii="Arial" w:hAnsi="Arial" w:cs="Arial"/>
        </w:rPr>
      </w:pPr>
      <w:r w:rsidRPr="004C1244">
        <w:rPr>
          <w:rFonts w:ascii="Arial" w:hAnsi="Arial" w:cs="Arial"/>
        </w:rPr>
        <w:lastRenderedPageBreak/>
        <w:t xml:space="preserve">processing is carried out in the course of its legitimate activities with appropriate safeguards by </w:t>
      </w:r>
      <w:r w:rsidRPr="004C1244">
        <w:rPr>
          <w:rFonts w:ascii="Arial" w:hAnsi="Arial" w:cs="Arial"/>
          <w:b/>
        </w:rPr>
        <w:t>a foundation, association or any other not-for-profit body</w:t>
      </w:r>
      <w:r w:rsidRPr="004C1244">
        <w:rPr>
          <w:rFonts w:ascii="Arial" w:hAnsi="Arial" w:cs="Arial"/>
        </w:rPr>
        <w:t xml:space="preserve">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64734D53" w14:textId="77777777" w:rsidR="00707068" w:rsidRPr="004C1244" w:rsidRDefault="00707068" w:rsidP="00707068">
      <w:pPr>
        <w:numPr>
          <w:ilvl w:val="0"/>
          <w:numId w:val="3"/>
        </w:numPr>
        <w:pBdr>
          <w:top w:val="nil"/>
          <w:left w:val="nil"/>
          <w:bottom w:val="nil"/>
          <w:right w:val="nil"/>
          <w:between w:val="nil"/>
        </w:pBdr>
        <w:spacing w:after="0" w:line="240" w:lineRule="auto"/>
        <w:contextualSpacing/>
        <w:jc w:val="both"/>
        <w:rPr>
          <w:rFonts w:ascii="Arial" w:hAnsi="Arial" w:cs="Arial"/>
        </w:rPr>
      </w:pPr>
      <w:r w:rsidRPr="004C1244">
        <w:rPr>
          <w:rFonts w:ascii="Arial" w:hAnsi="Arial" w:cs="Arial"/>
        </w:rPr>
        <w:t xml:space="preserve">processing relates to </w:t>
      </w:r>
      <w:r w:rsidRPr="004C1244">
        <w:rPr>
          <w:rFonts w:ascii="Arial" w:hAnsi="Arial" w:cs="Arial"/>
          <w:b/>
        </w:rPr>
        <w:t>personal data</w:t>
      </w:r>
      <w:r w:rsidRPr="004C1244">
        <w:rPr>
          <w:rFonts w:ascii="Arial" w:hAnsi="Arial" w:cs="Arial"/>
        </w:rPr>
        <w:t xml:space="preserve"> which are manifestly </w:t>
      </w:r>
      <w:r w:rsidRPr="004C1244">
        <w:rPr>
          <w:rFonts w:ascii="Arial" w:hAnsi="Arial" w:cs="Arial"/>
          <w:b/>
        </w:rPr>
        <w:t xml:space="preserve">made public by the data </w:t>
      </w:r>
      <w:proofErr w:type="gramStart"/>
      <w:r w:rsidRPr="004C1244">
        <w:rPr>
          <w:rFonts w:ascii="Arial" w:hAnsi="Arial" w:cs="Arial"/>
          <w:b/>
        </w:rPr>
        <w:t>subject</w:t>
      </w:r>
      <w:r w:rsidRPr="004C1244">
        <w:rPr>
          <w:rFonts w:ascii="Arial" w:hAnsi="Arial" w:cs="Arial"/>
        </w:rPr>
        <w:t>;</w:t>
      </w:r>
      <w:proofErr w:type="gramEnd"/>
    </w:p>
    <w:p w14:paraId="366A62E9" w14:textId="77777777" w:rsidR="00707068" w:rsidRPr="004C1244" w:rsidRDefault="00707068" w:rsidP="00707068">
      <w:pPr>
        <w:numPr>
          <w:ilvl w:val="0"/>
          <w:numId w:val="3"/>
        </w:numPr>
        <w:pBdr>
          <w:top w:val="nil"/>
          <w:left w:val="nil"/>
          <w:bottom w:val="nil"/>
          <w:right w:val="nil"/>
          <w:between w:val="nil"/>
        </w:pBdr>
        <w:spacing w:after="0" w:line="240" w:lineRule="auto"/>
        <w:contextualSpacing/>
        <w:jc w:val="both"/>
        <w:rPr>
          <w:rFonts w:ascii="Arial" w:hAnsi="Arial" w:cs="Arial"/>
        </w:rPr>
      </w:pPr>
      <w:r w:rsidRPr="004C1244">
        <w:rPr>
          <w:rFonts w:ascii="Arial" w:hAnsi="Arial" w:cs="Arial"/>
        </w:rPr>
        <w:t xml:space="preserve">processing is necessary for the </w:t>
      </w:r>
      <w:r w:rsidRPr="004C1244">
        <w:rPr>
          <w:rFonts w:ascii="Arial" w:hAnsi="Arial" w:cs="Arial"/>
          <w:b/>
        </w:rPr>
        <w:t>establishment, exercise or defence of legal claims</w:t>
      </w:r>
      <w:r w:rsidRPr="004C1244">
        <w:rPr>
          <w:rFonts w:ascii="Arial" w:hAnsi="Arial" w:cs="Arial"/>
        </w:rPr>
        <w:t xml:space="preserve"> or whenever courts are acting in their judicial </w:t>
      </w:r>
      <w:proofErr w:type="gramStart"/>
      <w:r w:rsidRPr="004C1244">
        <w:rPr>
          <w:rFonts w:ascii="Arial" w:hAnsi="Arial" w:cs="Arial"/>
        </w:rPr>
        <w:t>capacity;</w:t>
      </w:r>
      <w:proofErr w:type="gramEnd"/>
    </w:p>
    <w:p w14:paraId="2A6164DB" w14:textId="77777777" w:rsidR="00707068" w:rsidRPr="004C1244" w:rsidRDefault="00707068" w:rsidP="00707068">
      <w:pPr>
        <w:numPr>
          <w:ilvl w:val="0"/>
          <w:numId w:val="3"/>
        </w:numPr>
        <w:pBdr>
          <w:top w:val="nil"/>
          <w:left w:val="nil"/>
          <w:bottom w:val="nil"/>
          <w:right w:val="nil"/>
          <w:between w:val="nil"/>
        </w:pBdr>
        <w:spacing w:after="0" w:line="240" w:lineRule="auto"/>
        <w:contextualSpacing/>
        <w:jc w:val="both"/>
        <w:rPr>
          <w:rFonts w:ascii="Arial" w:hAnsi="Arial" w:cs="Arial"/>
        </w:rPr>
      </w:pPr>
      <w:r w:rsidRPr="004C1244">
        <w:rPr>
          <w:rFonts w:ascii="Arial" w:hAnsi="Arial" w:cs="Arial"/>
        </w:rPr>
        <w:t xml:space="preserve">processing is necessary for reasons of </w:t>
      </w:r>
      <w:r w:rsidRPr="004C1244">
        <w:rPr>
          <w:rFonts w:ascii="Arial" w:hAnsi="Arial" w:cs="Arial"/>
          <w:b/>
        </w:rPr>
        <w:t>substantial public interest</w:t>
      </w:r>
      <w:r w:rsidRPr="004C1244">
        <w:rPr>
          <w:rFonts w:ascii="Arial" w:hAnsi="Arial" w:cs="Arial"/>
        </w:rPr>
        <w:t xml:space="preserve">, on the basis of Union or Member State law which shall be proportionate to the aim pursued, respect the essence of the right to data protection and provide for suitable and specific measures to safeguard the fundamental rights and the interests of the data </w:t>
      </w:r>
      <w:proofErr w:type="gramStart"/>
      <w:r w:rsidRPr="004C1244">
        <w:rPr>
          <w:rFonts w:ascii="Arial" w:hAnsi="Arial" w:cs="Arial"/>
        </w:rPr>
        <w:t>subject;</w:t>
      </w:r>
      <w:proofErr w:type="gramEnd"/>
    </w:p>
    <w:p w14:paraId="7566E1B9" w14:textId="77777777" w:rsidR="00707068" w:rsidRPr="004C1244" w:rsidRDefault="00707068" w:rsidP="00707068">
      <w:pPr>
        <w:numPr>
          <w:ilvl w:val="0"/>
          <w:numId w:val="3"/>
        </w:numPr>
        <w:pBdr>
          <w:top w:val="nil"/>
          <w:left w:val="nil"/>
          <w:bottom w:val="nil"/>
          <w:right w:val="nil"/>
          <w:between w:val="nil"/>
        </w:pBdr>
        <w:spacing w:after="0" w:line="240" w:lineRule="auto"/>
        <w:contextualSpacing/>
        <w:jc w:val="both"/>
        <w:rPr>
          <w:rFonts w:ascii="Arial" w:hAnsi="Arial" w:cs="Arial"/>
        </w:rPr>
      </w:pPr>
      <w:r w:rsidRPr="004C1244">
        <w:rPr>
          <w:rFonts w:ascii="Arial" w:hAnsi="Arial" w:cs="Arial"/>
        </w:rPr>
        <w:t xml:space="preserve">processing is necessary for the </w:t>
      </w:r>
      <w:r w:rsidRPr="004C1244">
        <w:rPr>
          <w:rFonts w:ascii="Arial" w:hAnsi="Arial" w:cs="Arial"/>
          <w:b/>
        </w:rPr>
        <w:t>purposes of preventive or occupational medicine</w:t>
      </w:r>
      <w:r w:rsidRPr="004C1244">
        <w:rPr>
          <w:rFonts w:ascii="Arial" w:hAnsi="Arial" w:cs="Arial"/>
        </w:rPr>
        <w:t xml:space="preserve">, for the </w:t>
      </w:r>
      <w:r w:rsidRPr="004C1244">
        <w:rPr>
          <w:rFonts w:ascii="Arial" w:hAnsi="Arial" w:cs="Arial"/>
          <w:b/>
        </w:rPr>
        <w:t>assessment of the working capacity</w:t>
      </w:r>
      <w:r w:rsidRPr="004C1244">
        <w:rPr>
          <w:rFonts w:ascii="Arial" w:hAnsi="Arial" w:cs="Arial"/>
        </w:rPr>
        <w:t xml:space="preserve"> of the employee, </w:t>
      </w:r>
      <w:r w:rsidRPr="004C1244">
        <w:rPr>
          <w:rFonts w:ascii="Arial" w:hAnsi="Arial" w:cs="Arial"/>
          <w:b/>
        </w:rPr>
        <w:t>medical diagnosis, the provision of health or social care or treatment or the management of health or social care systems and servi</w:t>
      </w:r>
      <w:r w:rsidRPr="004C1244">
        <w:rPr>
          <w:rFonts w:ascii="Arial" w:hAnsi="Arial" w:cs="Arial"/>
        </w:rPr>
        <w:t xml:space="preserve">ces on the basis of Union or Member State law or pursuant to contract with a health professional and subject to the conditions and safeguards referred to in paragraph </w:t>
      </w:r>
      <w:proofErr w:type="gramStart"/>
      <w:r w:rsidRPr="004C1244">
        <w:rPr>
          <w:rFonts w:ascii="Arial" w:hAnsi="Arial" w:cs="Arial"/>
        </w:rPr>
        <w:t>3;</w:t>
      </w:r>
      <w:proofErr w:type="gramEnd"/>
    </w:p>
    <w:p w14:paraId="06EE70F2" w14:textId="77777777" w:rsidR="00707068" w:rsidRPr="004C1244" w:rsidRDefault="00707068" w:rsidP="00707068">
      <w:pPr>
        <w:numPr>
          <w:ilvl w:val="0"/>
          <w:numId w:val="3"/>
        </w:numPr>
        <w:pBdr>
          <w:top w:val="nil"/>
          <w:left w:val="nil"/>
          <w:bottom w:val="nil"/>
          <w:right w:val="nil"/>
          <w:between w:val="nil"/>
        </w:pBdr>
        <w:spacing w:after="0" w:line="240" w:lineRule="auto"/>
        <w:contextualSpacing/>
        <w:jc w:val="both"/>
        <w:rPr>
          <w:rFonts w:ascii="Arial" w:hAnsi="Arial" w:cs="Arial"/>
        </w:rPr>
      </w:pPr>
      <w:r w:rsidRPr="004C1244">
        <w:rPr>
          <w:rFonts w:ascii="Arial" w:hAnsi="Arial" w:cs="Arial"/>
        </w:rPr>
        <w:t xml:space="preserve">processing is necessary for reasons of </w:t>
      </w:r>
      <w:r w:rsidRPr="004C1244">
        <w:rPr>
          <w:rFonts w:ascii="Arial" w:hAnsi="Arial" w:cs="Arial"/>
          <w:b/>
        </w:rPr>
        <w:t>public interest in the area of public health</w:t>
      </w:r>
      <w:r w:rsidRPr="004C1244">
        <w:rPr>
          <w:rFonts w:ascii="Arial" w:hAnsi="Arial" w:cs="Arial"/>
        </w:rPr>
        <w:t xml:space="preserve">,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w:t>
      </w:r>
      <w:proofErr w:type="gramStart"/>
      <w:r w:rsidRPr="004C1244">
        <w:rPr>
          <w:rFonts w:ascii="Arial" w:hAnsi="Arial" w:cs="Arial"/>
        </w:rPr>
        <w:t>secrecy;</w:t>
      </w:r>
      <w:proofErr w:type="gramEnd"/>
    </w:p>
    <w:p w14:paraId="046F9569" w14:textId="77777777" w:rsidR="00707068" w:rsidRPr="004C1244" w:rsidRDefault="00707068" w:rsidP="00707068">
      <w:pPr>
        <w:numPr>
          <w:ilvl w:val="0"/>
          <w:numId w:val="3"/>
        </w:numPr>
        <w:pBdr>
          <w:top w:val="nil"/>
          <w:left w:val="nil"/>
          <w:bottom w:val="nil"/>
          <w:right w:val="nil"/>
          <w:between w:val="nil"/>
        </w:pBdr>
        <w:spacing w:after="0" w:line="240" w:lineRule="auto"/>
        <w:contextualSpacing/>
        <w:jc w:val="both"/>
        <w:rPr>
          <w:rFonts w:ascii="Arial" w:hAnsi="Arial" w:cs="Arial"/>
        </w:rPr>
      </w:pPr>
      <w:r w:rsidRPr="004C1244">
        <w:rPr>
          <w:rFonts w:ascii="Arial" w:hAnsi="Arial" w:cs="Arial"/>
        </w:rPr>
        <w:t xml:space="preserve">processing is necessary </w:t>
      </w:r>
      <w:r w:rsidRPr="004C1244">
        <w:rPr>
          <w:rFonts w:ascii="Arial" w:hAnsi="Arial" w:cs="Arial"/>
          <w:b/>
        </w:rPr>
        <w:t xml:space="preserve">for archiving purposes in the public interest, scientific or historical research purposes or statistical purposes </w:t>
      </w:r>
      <w:r w:rsidRPr="004C1244">
        <w:rPr>
          <w:rFonts w:ascii="Arial" w:hAnsi="Arial" w:cs="Arial"/>
        </w:rPr>
        <w:t>in accordance with </w:t>
      </w:r>
      <w:hyperlink r:id="rId12">
        <w:r w:rsidRPr="004C1244">
          <w:rPr>
            <w:rFonts w:ascii="Arial" w:hAnsi="Arial" w:cs="Arial"/>
          </w:rPr>
          <w:t>Article 89</w:t>
        </w:r>
      </w:hyperlink>
      <w:r w:rsidRPr="004C1244">
        <w:rPr>
          <w:rFonts w:ascii="Arial" w:hAnsi="Arial" w:cs="Arial"/>
        </w:rPr>
        <w:t>(1) based on Union or Member State law which shall be proportionate to the aim pursued, respect the essence of the right to data protection and provide for suitable and specific measures to safeguard the fundamental rights and the interests of the data subject.</w:t>
      </w:r>
    </w:p>
    <w:p w14:paraId="47C3980A" w14:textId="77777777" w:rsidR="00707068" w:rsidRPr="004C1244" w:rsidRDefault="00707068" w:rsidP="00707068">
      <w:pPr>
        <w:pBdr>
          <w:top w:val="nil"/>
          <w:left w:val="nil"/>
          <w:bottom w:val="nil"/>
          <w:right w:val="nil"/>
          <w:between w:val="nil"/>
        </w:pBdr>
        <w:spacing w:after="0" w:line="240" w:lineRule="auto"/>
        <w:ind w:left="720"/>
        <w:contextualSpacing/>
        <w:jc w:val="both"/>
        <w:rPr>
          <w:rFonts w:ascii="Arial" w:hAnsi="Arial" w:cs="Arial"/>
        </w:rPr>
      </w:pPr>
    </w:p>
    <w:p w14:paraId="35AC88A2" w14:textId="77777777" w:rsidR="00707068" w:rsidRPr="004C1244" w:rsidRDefault="00707068" w:rsidP="00707068">
      <w:pPr>
        <w:jc w:val="both"/>
        <w:rPr>
          <w:rFonts w:ascii="Arial" w:hAnsi="Arial" w:cs="Arial"/>
        </w:rPr>
      </w:pPr>
      <w:r w:rsidRPr="004C1244">
        <w:rPr>
          <w:rFonts w:ascii="Arial" w:hAnsi="Arial" w:cs="Arial"/>
        </w:rPr>
        <w:t>Sensitive personal data may be processed for the purposes referred to in point (h) of above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4ECD2DC4" w14:textId="77777777" w:rsidR="00753015" w:rsidRPr="004C1244" w:rsidRDefault="00753015" w:rsidP="00753015">
      <w:pPr>
        <w:jc w:val="both"/>
        <w:rPr>
          <w:rFonts w:ascii="Arial" w:eastAsia="Times New Roman" w:hAnsi="Arial" w:cs="Arial"/>
          <w:sz w:val="24"/>
          <w:szCs w:val="24"/>
        </w:rPr>
      </w:pPr>
      <w:r w:rsidRPr="004C1244">
        <w:rPr>
          <w:rFonts w:ascii="Arial" w:hAnsi="Arial" w:cs="Arial"/>
          <w:highlight w:val="white"/>
        </w:rPr>
        <w:t xml:space="preserve">If you are processing data about criminal convictions, criminal </w:t>
      </w:r>
      <w:proofErr w:type="gramStart"/>
      <w:r w:rsidRPr="004C1244">
        <w:rPr>
          <w:rFonts w:ascii="Arial" w:hAnsi="Arial" w:cs="Arial"/>
          <w:highlight w:val="white"/>
        </w:rPr>
        <w:t>offences</w:t>
      </w:r>
      <w:proofErr w:type="gramEnd"/>
      <w:r w:rsidRPr="004C1244">
        <w:rPr>
          <w:rFonts w:ascii="Arial" w:hAnsi="Arial" w:cs="Arial"/>
          <w:highlight w:val="white"/>
        </w:rPr>
        <w:t xml:space="preserve"> or related security measures, you should document both your lawful basis for processing under Article 6 and your criminal offence data condition under Article 10, either legal authority or official authority,</w:t>
      </w:r>
      <w:r w:rsidRPr="004C1244">
        <w:rPr>
          <w:rFonts w:ascii="Arial" w:eastAsia="Verdana" w:hAnsi="Arial" w:cs="Arial"/>
          <w:sz w:val="23"/>
          <w:szCs w:val="23"/>
          <w:highlight w:val="white"/>
        </w:rPr>
        <w:t xml:space="preserve"> </w:t>
      </w:r>
      <w:r w:rsidRPr="004C1244">
        <w:rPr>
          <w:rFonts w:ascii="Arial" w:hAnsi="Arial" w:cs="Arial"/>
          <w:highlight w:val="white"/>
        </w:rPr>
        <w:t>so that you can demonstrate compliance and accountability.</w:t>
      </w:r>
    </w:p>
    <w:p w14:paraId="2A466081" w14:textId="69029759" w:rsidR="00753015" w:rsidRPr="004C1244" w:rsidRDefault="00753015" w:rsidP="00753015">
      <w:pPr>
        <w:spacing w:after="120" w:line="240" w:lineRule="auto"/>
        <w:jc w:val="both"/>
        <w:rPr>
          <w:rFonts w:ascii="Arial" w:hAnsi="Arial" w:cs="Arial"/>
          <w:color w:val="000000"/>
          <w:highlight w:val="white"/>
        </w:rPr>
      </w:pPr>
      <w:r w:rsidRPr="004C1244">
        <w:rPr>
          <w:rFonts w:ascii="Arial" w:hAnsi="Arial" w:cs="Arial"/>
          <w:color w:val="000000"/>
          <w:highlight w:val="white"/>
        </w:rPr>
        <w:t xml:space="preserve">You must keep a record of which basis you are relying on for each processing purpose, and a justification for why you believe it applies. This Register has been designed to fulfil that purpose. </w:t>
      </w:r>
    </w:p>
    <w:p w14:paraId="68F10F86" w14:textId="77777777" w:rsidR="00753015" w:rsidRPr="004C1244" w:rsidRDefault="00753015" w:rsidP="00753015">
      <w:pPr>
        <w:spacing w:after="120" w:line="240" w:lineRule="auto"/>
        <w:jc w:val="both"/>
        <w:rPr>
          <w:rFonts w:ascii="Arial" w:hAnsi="Arial" w:cs="Arial"/>
          <w:color w:val="000000"/>
          <w:highlight w:val="white"/>
        </w:rPr>
      </w:pPr>
      <w:r w:rsidRPr="004C1244">
        <w:rPr>
          <w:rFonts w:ascii="Arial" w:hAnsi="Arial" w:cs="Arial"/>
          <w:color w:val="000000"/>
          <w:highlight w:val="white"/>
        </w:rPr>
        <w:t xml:space="preserve">This is a complex </w:t>
      </w:r>
      <w:proofErr w:type="gramStart"/>
      <w:r w:rsidRPr="004C1244">
        <w:rPr>
          <w:rFonts w:ascii="Arial" w:hAnsi="Arial" w:cs="Arial"/>
          <w:color w:val="000000"/>
          <w:highlight w:val="white"/>
        </w:rPr>
        <w:t>area</w:t>
      </w:r>
      <w:proofErr w:type="gramEnd"/>
      <w:r w:rsidRPr="004C1244">
        <w:rPr>
          <w:rFonts w:ascii="Arial" w:hAnsi="Arial" w:cs="Arial"/>
          <w:color w:val="000000"/>
          <w:highlight w:val="white"/>
        </w:rPr>
        <w:t xml:space="preserve"> and we recommend you seek appropriate advice in relation to determining your correct legal bases.</w:t>
      </w:r>
    </w:p>
    <w:p w14:paraId="1C66C45D" w14:textId="77777777" w:rsidR="00805360" w:rsidRPr="004C1244" w:rsidRDefault="00805360" w:rsidP="00707068">
      <w:pPr>
        <w:spacing w:after="120" w:line="240" w:lineRule="auto"/>
        <w:jc w:val="both"/>
        <w:rPr>
          <w:rFonts w:ascii="Arial" w:hAnsi="Arial" w:cs="Arial"/>
          <w:highlight w:val="white"/>
        </w:rPr>
      </w:pPr>
    </w:p>
    <w:p w14:paraId="50260DD4" w14:textId="77777777" w:rsidR="00E55DF7" w:rsidRDefault="00E55DF7" w:rsidP="00707068">
      <w:pPr>
        <w:spacing w:after="120" w:line="240" w:lineRule="auto"/>
        <w:jc w:val="both"/>
        <w:rPr>
          <w:highlight w:val="white"/>
        </w:rPr>
      </w:pPr>
    </w:p>
    <w:p w14:paraId="2AA152E9" w14:textId="77777777" w:rsidR="00E55DF7" w:rsidRPr="00753015" w:rsidRDefault="00E55DF7" w:rsidP="00707068">
      <w:pPr>
        <w:spacing w:after="120" w:line="240" w:lineRule="auto"/>
        <w:jc w:val="both"/>
        <w:rPr>
          <w:rFonts w:asciiTheme="minorHAnsi" w:hAnsiTheme="minorHAnsi" w:cstheme="minorHAnsi"/>
          <w:sz w:val="24"/>
          <w:szCs w:val="24"/>
          <w:highlight w:val="white"/>
        </w:rPr>
      </w:pPr>
    </w:p>
    <w:p w14:paraId="4707A0CE" w14:textId="77777777" w:rsidR="00753015" w:rsidRPr="00E973D4" w:rsidRDefault="00753015" w:rsidP="00753015">
      <w:pPr>
        <w:pStyle w:val="paragraph"/>
        <w:spacing w:before="0" w:beforeAutospacing="0" w:after="0" w:afterAutospacing="0"/>
        <w:jc w:val="both"/>
        <w:textAlignment w:val="baseline"/>
        <w:rPr>
          <w:rFonts w:ascii="Arial" w:hAnsi="Arial" w:cs="Arial"/>
          <w:sz w:val="20"/>
          <w:szCs w:val="20"/>
        </w:rPr>
      </w:pPr>
      <w:r w:rsidRPr="00E973D4">
        <w:rPr>
          <w:rStyle w:val="normaltextrun"/>
          <w:rFonts w:ascii="Arial" w:eastAsia="Calibri" w:hAnsi="Arial" w:cs="Arial"/>
          <w:b/>
          <w:bCs/>
          <w:color w:val="00A8BD"/>
          <w:sz w:val="28"/>
          <w:szCs w:val="28"/>
        </w:rPr>
        <w:t>DATA PROCESSED REGISTER OF</w:t>
      </w:r>
      <w:r w:rsidRPr="00E973D4">
        <w:rPr>
          <w:rStyle w:val="normaltextrun"/>
          <w:rFonts w:ascii="Arial" w:eastAsia="Calibri" w:hAnsi="Arial" w:cs="Arial"/>
          <w:b/>
          <w:bCs/>
          <w:color w:val="0B7984"/>
          <w:sz w:val="28"/>
          <w:szCs w:val="28"/>
        </w:rPr>
        <w:t>:</w:t>
      </w:r>
      <w:r w:rsidRPr="00E973D4">
        <w:rPr>
          <w:rStyle w:val="eop"/>
          <w:rFonts w:ascii="Arial" w:hAnsi="Arial" w:cs="Arial"/>
          <w:color w:val="0B7984"/>
          <w:sz w:val="28"/>
          <w:szCs w:val="28"/>
        </w:rPr>
        <w:t> </w:t>
      </w:r>
    </w:p>
    <w:p w14:paraId="0AB0DC0D" w14:textId="77777777" w:rsidR="00753015" w:rsidRPr="00E973D4" w:rsidRDefault="00753015" w:rsidP="00753015">
      <w:pPr>
        <w:pStyle w:val="paragraph"/>
        <w:spacing w:before="0" w:beforeAutospacing="0" w:after="0" w:afterAutospacing="0"/>
        <w:jc w:val="both"/>
        <w:textAlignment w:val="baseline"/>
        <w:rPr>
          <w:rFonts w:ascii="Arial" w:hAnsi="Arial" w:cs="Arial"/>
          <w:sz w:val="18"/>
          <w:szCs w:val="18"/>
        </w:rPr>
      </w:pPr>
      <w:r w:rsidRPr="00E973D4">
        <w:rPr>
          <w:rStyle w:val="eop"/>
          <w:rFonts w:ascii="Arial" w:hAnsi="Arial" w:cs="Arial"/>
        </w:rPr>
        <w:t> </w:t>
      </w:r>
    </w:p>
    <w:p w14:paraId="3DF690B3" w14:textId="16048785" w:rsidR="00753015" w:rsidRPr="00E973D4" w:rsidRDefault="00753015" w:rsidP="00753015">
      <w:pPr>
        <w:pStyle w:val="paragraph"/>
        <w:spacing w:before="0" w:beforeAutospacing="0" w:after="0" w:afterAutospacing="0"/>
        <w:jc w:val="both"/>
        <w:textAlignment w:val="baseline"/>
        <w:rPr>
          <w:rFonts w:ascii="Arial" w:hAnsi="Arial" w:cs="Arial"/>
          <w:sz w:val="18"/>
          <w:szCs w:val="18"/>
        </w:rPr>
      </w:pPr>
      <w:r w:rsidRPr="00E973D4">
        <w:rPr>
          <w:rStyle w:val="normaltextrun"/>
          <w:rFonts w:ascii="Arial" w:eastAsia="Calibri" w:hAnsi="Arial" w:cs="Arial"/>
          <w:b/>
          <w:bCs/>
        </w:rPr>
        <w:t>[INSERT BUSINESS NAME]</w:t>
      </w:r>
      <w:r w:rsidRPr="00E973D4">
        <w:rPr>
          <w:rStyle w:val="eop"/>
          <w:rFonts w:ascii="Arial" w:hAnsi="Arial" w:cs="Arial"/>
        </w:rPr>
        <w:t> </w:t>
      </w:r>
    </w:p>
    <w:p w14:paraId="371A02C9" w14:textId="77777777" w:rsidR="00753015" w:rsidRPr="00E973D4" w:rsidRDefault="00753015" w:rsidP="00753015">
      <w:pPr>
        <w:pStyle w:val="paragraph"/>
        <w:spacing w:before="0" w:beforeAutospacing="0" w:after="0" w:afterAutospacing="0"/>
        <w:jc w:val="both"/>
        <w:textAlignment w:val="baseline"/>
        <w:rPr>
          <w:rFonts w:ascii="Arial" w:hAnsi="Arial" w:cs="Arial"/>
          <w:sz w:val="18"/>
          <w:szCs w:val="18"/>
        </w:rPr>
      </w:pPr>
      <w:r w:rsidRPr="00E973D4">
        <w:rPr>
          <w:rStyle w:val="eop"/>
          <w:rFonts w:ascii="Arial" w:hAnsi="Arial" w:cs="Arial"/>
        </w:rPr>
        <w:t> </w:t>
      </w:r>
    </w:p>
    <w:p w14:paraId="7BE9B81A" w14:textId="77777777" w:rsidR="00753015" w:rsidRPr="00E973D4" w:rsidRDefault="00753015" w:rsidP="00753015">
      <w:pPr>
        <w:pStyle w:val="paragraph"/>
        <w:spacing w:before="0" w:beforeAutospacing="0" w:after="0" w:afterAutospacing="0"/>
        <w:jc w:val="both"/>
        <w:textAlignment w:val="baseline"/>
        <w:rPr>
          <w:rFonts w:ascii="Arial" w:hAnsi="Arial" w:cs="Arial"/>
          <w:sz w:val="18"/>
          <w:szCs w:val="18"/>
        </w:rPr>
      </w:pPr>
      <w:r w:rsidRPr="00E973D4">
        <w:rPr>
          <w:rStyle w:val="normaltextrun"/>
          <w:rFonts w:ascii="Arial" w:eastAsia="Calibri" w:hAnsi="Arial" w:cs="Arial"/>
          <w:b/>
          <w:bCs/>
        </w:rPr>
        <w:t>[INSERT BUSINESS ADDRESS]</w:t>
      </w:r>
      <w:r w:rsidRPr="00E973D4">
        <w:rPr>
          <w:rStyle w:val="eop"/>
          <w:rFonts w:ascii="Arial" w:hAnsi="Arial" w:cs="Arial"/>
        </w:rPr>
        <w:t> </w:t>
      </w:r>
    </w:p>
    <w:p w14:paraId="5048AA8A" w14:textId="77777777" w:rsidR="00753015" w:rsidRPr="00E973D4" w:rsidRDefault="00753015" w:rsidP="00753015">
      <w:pPr>
        <w:pStyle w:val="paragraph"/>
        <w:spacing w:before="0" w:beforeAutospacing="0" w:after="0" w:afterAutospacing="0"/>
        <w:jc w:val="both"/>
        <w:textAlignment w:val="baseline"/>
        <w:rPr>
          <w:rFonts w:ascii="Arial" w:hAnsi="Arial" w:cs="Arial"/>
          <w:sz w:val="18"/>
          <w:szCs w:val="18"/>
        </w:rPr>
      </w:pPr>
      <w:r w:rsidRPr="00E973D4">
        <w:rPr>
          <w:rStyle w:val="eop"/>
          <w:rFonts w:ascii="Arial" w:hAnsi="Arial" w:cs="Arial"/>
        </w:rPr>
        <w:t> </w:t>
      </w:r>
    </w:p>
    <w:p w14:paraId="0EC35BF5" w14:textId="77777777" w:rsidR="00753015" w:rsidRPr="00E973D4" w:rsidRDefault="00753015" w:rsidP="00753015">
      <w:pPr>
        <w:pStyle w:val="paragraph"/>
        <w:spacing w:before="0" w:beforeAutospacing="0" w:after="0" w:afterAutospacing="0"/>
        <w:jc w:val="both"/>
        <w:textAlignment w:val="baseline"/>
        <w:rPr>
          <w:rFonts w:ascii="Arial" w:hAnsi="Arial" w:cs="Arial"/>
          <w:sz w:val="18"/>
          <w:szCs w:val="18"/>
        </w:rPr>
      </w:pPr>
      <w:r w:rsidRPr="00E973D4">
        <w:rPr>
          <w:rStyle w:val="normaltextrun"/>
          <w:rFonts w:ascii="Arial" w:eastAsia="Calibri" w:hAnsi="Arial" w:cs="Arial"/>
          <w:b/>
          <w:bCs/>
        </w:rPr>
        <w:t>[INSERT ICO REGISTRATION NUMBER]</w:t>
      </w:r>
      <w:r w:rsidRPr="00E973D4">
        <w:rPr>
          <w:rStyle w:val="eop"/>
          <w:rFonts w:ascii="Arial" w:hAnsi="Arial" w:cs="Arial"/>
        </w:rPr>
        <w:t> </w:t>
      </w:r>
    </w:p>
    <w:p w14:paraId="77AB8816" w14:textId="77777777" w:rsidR="00753015" w:rsidRPr="00E973D4" w:rsidRDefault="00753015" w:rsidP="00753015">
      <w:pPr>
        <w:pStyle w:val="paragraph"/>
        <w:spacing w:before="0" w:beforeAutospacing="0" w:after="0" w:afterAutospacing="0"/>
        <w:jc w:val="both"/>
        <w:textAlignment w:val="baseline"/>
        <w:rPr>
          <w:rFonts w:ascii="Arial" w:hAnsi="Arial" w:cs="Arial"/>
          <w:sz w:val="18"/>
          <w:szCs w:val="18"/>
        </w:rPr>
      </w:pPr>
      <w:r w:rsidRPr="00E973D4">
        <w:rPr>
          <w:rStyle w:val="eop"/>
          <w:rFonts w:ascii="Arial" w:hAnsi="Arial" w:cs="Arial"/>
        </w:rPr>
        <w:t> </w:t>
      </w:r>
    </w:p>
    <w:p w14:paraId="0A90BC24" w14:textId="77777777" w:rsidR="00753015" w:rsidRPr="00E973D4" w:rsidRDefault="00753015" w:rsidP="00753015">
      <w:pPr>
        <w:pStyle w:val="paragraph"/>
        <w:spacing w:before="0" w:beforeAutospacing="0" w:after="0" w:afterAutospacing="0"/>
        <w:jc w:val="both"/>
        <w:textAlignment w:val="baseline"/>
        <w:rPr>
          <w:rFonts w:ascii="Arial" w:hAnsi="Arial" w:cs="Arial"/>
          <w:sz w:val="18"/>
          <w:szCs w:val="18"/>
        </w:rPr>
      </w:pPr>
      <w:r w:rsidRPr="00E973D4">
        <w:rPr>
          <w:rStyle w:val="normaltextrun"/>
          <w:rFonts w:ascii="Arial" w:eastAsia="Calibri" w:hAnsi="Arial" w:cs="Arial"/>
          <w:b/>
          <w:bCs/>
        </w:rPr>
        <w:t>[INSERT DATE]</w:t>
      </w:r>
      <w:r w:rsidRPr="00E973D4">
        <w:rPr>
          <w:rStyle w:val="eop"/>
          <w:rFonts w:ascii="Arial" w:hAnsi="Arial" w:cs="Arial"/>
        </w:rPr>
        <w:t> </w:t>
      </w:r>
    </w:p>
    <w:p w14:paraId="6D8E6633" w14:textId="77777777" w:rsidR="00753015" w:rsidRPr="00753015" w:rsidRDefault="00753015" w:rsidP="00753015">
      <w:pPr>
        <w:pStyle w:val="paragraph"/>
        <w:spacing w:before="0" w:beforeAutospacing="0" w:after="0" w:afterAutospacing="0"/>
        <w:jc w:val="both"/>
        <w:textAlignment w:val="baseline"/>
        <w:rPr>
          <w:rFonts w:asciiTheme="minorHAnsi" w:hAnsiTheme="minorHAnsi" w:cstheme="minorHAnsi"/>
          <w:sz w:val="18"/>
          <w:szCs w:val="18"/>
        </w:rPr>
      </w:pPr>
      <w:r w:rsidRPr="00753015">
        <w:rPr>
          <w:rStyle w:val="eop"/>
          <w:rFonts w:asciiTheme="minorHAnsi" w:hAnsiTheme="minorHAnsi" w:cstheme="minorHAnsi"/>
        </w:rPr>
        <w:t> </w:t>
      </w:r>
    </w:p>
    <w:p w14:paraId="0AF3AA6B" w14:textId="77777777" w:rsidR="00753015" w:rsidRPr="00753015" w:rsidRDefault="00753015" w:rsidP="00753015">
      <w:pPr>
        <w:pStyle w:val="paragraph"/>
        <w:spacing w:before="0" w:beforeAutospacing="0" w:after="0" w:afterAutospacing="0"/>
        <w:jc w:val="both"/>
        <w:textAlignment w:val="baseline"/>
        <w:rPr>
          <w:rFonts w:asciiTheme="minorHAnsi" w:hAnsiTheme="minorHAnsi" w:cstheme="minorHAnsi"/>
          <w:sz w:val="18"/>
          <w:szCs w:val="18"/>
        </w:rPr>
      </w:pPr>
      <w:r w:rsidRPr="00753015">
        <w:rPr>
          <w:rStyle w:val="eop"/>
          <w:rFonts w:asciiTheme="minorHAnsi" w:hAnsiTheme="minorHAnsi" w:cstheme="minorHAnsi"/>
        </w:rPr>
        <w:t> </w:t>
      </w:r>
    </w:p>
    <w:p w14:paraId="40DD6FF6" w14:textId="28FF2F97" w:rsidR="00753015" w:rsidRPr="00E973D4" w:rsidRDefault="00753015" w:rsidP="00753015">
      <w:pPr>
        <w:pStyle w:val="paragraph"/>
        <w:spacing w:before="0" w:beforeAutospacing="0" w:after="0" w:afterAutospacing="0"/>
        <w:jc w:val="both"/>
        <w:textAlignment w:val="baseline"/>
        <w:rPr>
          <w:rFonts w:ascii="Arial" w:hAnsi="Arial" w:cs="Arial"/>
          <w:sz w:val="18"/>
          <w:szCs w:val="18"/>
        </w:rPr>
      </w:pPr>
      <w:r w:rsidRPr="00E973D4">
        <w:rPr>
          <w:rStyle w:val="normaltextrun"/>
          <w:rFonts w:ascii="Arial" w:eastAsia="Calibri" w:hAnsi="Arial" w:cs="Arial"/>
          <w:b/>
          <w:bCs/>
        </w:rPr>
        <w:t>Policy became operational on: [1 January 202</w:t>
      </w:r>
      <w:r w:rsidR="00016F07" w:rsidRPr="00E973D4">
        <w:rPr>
          <w:rStyle w:val="normaltextrun"/>
          <w:rFonts w:ascii="Arial" w:eastAsia="Calibri" w:hAnsi="Arial" w:cs="Arial"/>
          <w:b/>
          <w:bCs/>
        </w:rPr>
        <w:t>3</w:t>
      </w:r>
      <w:r w:rsidRPr="00E973D4">
        <w:rPr>
          <w:rStyle w:val="normaltextrun"/>
          <w:rFonts w:ascii="Arial" w:eastAsia="Calibri" w:hAnsi="Arial" w:cs="Arial"/>
          <w:b/>
          <w:bCs/>
        </w:rPr>
        <w:t>]</w:t>
      </w:r>
      <w:r w:rsidRPr="00E973D4">
        <w:rPr>
          <w:rStyle w:val="normaltextrun"/>
          <w:rFonts w:ascii="Arial" w:eastAsia="Calibri" w:hAnsi="Arial" w:cs="Arial"/>
          <w:b/>
          <w:bCs/>
          <w:strike/>
          <w:color w:val="D13438"/>
        </w:rPr>
        <w:t xml:space="preserve"> </w:t>
      </w:r>
    </w:p>
    <w:p w14:paraId="0A1D06D7" w14:textId="77777777" w:rsidR="00753015" w:rsidRPr="00E973D4" w:rsidRDefault="00753015" w:rsidP="00753015">
      <w:pPr>
        <w:pStyle w:val="paragraph"/>
        <w:spacing w:before="0" w:beforeAutospacing="0" w:after="0" w:afterAutospacing="0"/>
        <w:jc w:val="both"/>
        <w:textAlignment w:val="baseline"/>
        <w:rPr>
          <w:rFonts w:ascii="Arial" w:hAnsi="Arial" w:cs="Arial"/>
          <w:sz w:val="18"/>
          <w:szCs w:val="18"/>
        </w:rPr>
      </w:pPr>
      <w:r w:rsidRPr="00E973D4">
        <w:rPr>
          <w:rStyle w:val="eop"/>
          <w:rFonts w:ascii="Arial" w:hAnsi="Arial" w:cs="Arial"/>
        </w:rPr>
        <w:t> </w:t>
      </w:r>
    </w:p>
    <w:p w14:paraId="169C0AC0" w14:textId="613302F9" w:rsidR="00753015" w:rsidRPr="00E973D4" w:rsidRDefault="00753015" w:rsidP="00753015">
      <w:pPr>
        <w:pStyle w:val="paragraph"/>
        <w:spacing w:before="0" w:beforeAutospacing="0" w:after="0" w:afterAutospacing="0"/>
        <w:jc w:val="both"/>
        <w:textAlignment w:val="baseline"/>
        <w:rPr>
          <w:rFonts w:ascii="Arial" w:hAnsi="Arial" w:cs="Arial"/>
          <w:sz w:val="18"/>
          <w:szCs w:val="18"/>
        </w:rPr>
      </w:pPr>
      <w:r w:rsidRPr="00E973D4">
        <w:rPr>
          <w:rStyle w:val="normaltextrun"/>
          <w:rFonts w:ascii="Arial" w:eastAsia="Calibri" w:hAnsi="Arial" w:cs="Arial"/>
          <w:b/>
          <w:bCs/>
        </w:rPr>
        <w:t>Next review date: [1 January 202</w:t>
      </w:r>
      <w:r w:rsidR="00016F07" w:rsidRPr="00E973D4">
        <w:rPr>
          <w:rStyle w:val="normaltextrun"/>
          <w:rFonts w:ascii="Arial" w:eastAsia="Calibri" w:hAnsi="Arial" w:cs="Arial"/>
          <w:b/>
          <w:bCs/>
        </w:rPr>
        <w:t>4</w:t>
      </w:r>
      <w:r w:rsidRPr="00E973D4">
        <w:rPr>
          <w:rStyle w:val="normaltextrun"/>
          <w:rFonts w:ascii="Arial" w:eastAsia="Calibri" w:hAnsi="Arial" w:cs="Arial"/>
          <w:b/>
          <w:bCs/>
        </w:rPr>
        <w:t>]</w:t>
      </w:r>
      <w:r w:rsidRPr="00E973D4">
        <w:rPr>
          <w:rStyle w:val="eop"/>
          <w:rFonts w:ascii="Arial" w:hAnsi="Arial" w:cs="Arial"/>
        </w:rPr>
        <w:t> </w:t>
      </w:r>
    </w:p>
    <w:p w14:paraId="7B551467" w14:textId="77777777" w:rsidR="00753015" w:rsidRDefault="00753015" w:rsidP="00753015">
      <w:pPr>
        <w:pStyle w:val="paragraph"/>
        <w:spacing w:before="0" w:beforeAutospacing="0" w:after="0" w:afterAutospacing="0"/>
        <w:jc w:val="both"/>
        <w:textAlignment w:val="baseline"/>
        <w:rPr>
          <w:rFonts w:ascii="Segoe UI" w:hAnsi="Segoe UI" w:cs="Segoe UI"/>
          <w:sz w:val="18"/>
          <w:szCs w:val="18"/>
        </w:rPr>
      </w:pPr>
      <w:r>
        <w:rPr>
          <w:rStyle w:val="eop"/>
        </w:rPr>
        <w:t> </w:t>
      </w:r>
    </w:p>
    <w:p w14:paraId="046E2C47" w14:textId="7B13333B" w:rsidR="00E55DF7" w:rsidRDefault="00E55DF7" w:rsidP="00707068">
      <w:pPr>
        <w:spacing w:after="120" w:line="240" w:lineRule="auto"/>
        <w:jc w:val="both"/>
        <w:rPr>
          <w:highlight w:val="white"/>
        </w:rPr>
        <w:sectPr w:rsidR="00E55DF7" w:rsidSect="00805360">
          <w:headerReference w:type="default" r:id="rId13"/>
          <w:footerReference w:type="default" r:id="rId14"/>
          <w:pgSz w:w="11906" w:h="16838"/>
          <w:pgMar w:top="1440" w:right="1440" w:bottom="1440" w:left="1440" w:header="708" w:footer="708" w:gutter="0"/>
          <w:cols w:space="708"/>
          <w:docGrid w:linePitch="360"/>
        </w:sectPr>
      </w:pPr>
    </w:p>
    <w:p w14:paraId="23D9F402" w14:textId="7B72B62F" w:rsidR="00A17F76" w:rsidRDefault="00A17F76" w:rsidP="0031309D">
      <w:pPr>
        <w:spacing w:after="120" w:line="240" w:lineRule="auto"/>
        <w:jc w:val="both"/>
        <w:rPr>
          <w:color w:val="000000"/>
          <w:highlight w:val="white"/>
        </w:rPr>
      </w:pPr>
    </w:p>
    <w:tbl>
      <w:tblPr>
        <w:tblStyle w:val="TableGrid"/>
        <w:tblW w:w="15877" w:type="dxa"/>
        <w:tblInd w:w="-856" w:type="dxa"/>
        <w:tblLook w:val="04A0" w:firstRow="1" w:lastRow="0" w:firstColumn="1" w:lastColumn="0" w:noHBand="0" w:noVBand="1"/>
      </w:tblPr>
      <w:tblGrid>
        <w:gridCol w:w="1830"/>
        <w:gridCol w:w="2639"/>
        <w:gridCol w:w="2884"/>
        <w:gridCol w:w="1899"/>
        <w:gridCol w:w="1908"/>
        <w:gridCol w:w="2337"/>
        <w:gridCol w:w="2380"/>
      </w:tblGrid>
      <w:tr w:rsidR="00A17F76" w:rsidRPr="00EA79F7" w14:paraId="7F172E29" w14:textId="77777777" w:rsidTr="00A17F76">
        <w:tc>
          <w:tcPr>
            <w:tcW w:w="1830" w:type="dxa"/>
          </w:tcPr>
          <w:p w14:paraId="4EE1239C" w14:textId="77777777" w:rsidR="00A17F76" w:rsidRPr="002349BA" w:rsidRDefault="00A17F76" w:rsidP="00A17F76">
            <w:pPr>
              <w:pStyle w:val="ListParagraph"/>
              <w:numPr>
                <w:ilvl w:val="0"/>
                <w:numId w:val="4"/>
              </w:numPr>
              <w:rPr>
                <w:rFonts w:ascii="Arial" w:eastAsia="Calibri" w:hAnsi="Arial" w:cs="Arial"/>
                <w:b/>
                <w:bCs/>
                <w:color w:val="000000"/>
                <w:highlight w:val="white"/>
                <w:lang w:eastAsia="en-GB"/>
              </w:rPr>
            </w:pPr>
            <w:r w:rsidRPr="002349BA">
              <w:rPr>
                <w:rFonts w:ascii="Arial" w:eastAsia="Calibri" w:hAnsi="Arial" w:cs="Arial"/>
                <w:b/>
                <w:bCs/>
                <w:color w:val="000000"/>
                <w:highlight w:val="white"/>
                <w:lang w:eastAsia="en-GB"/>
              </w:rPr>
              <w:t>Categories of individuals</w:t>
            </w:r>
          </w:p>
        </w:tc>
        <w:tc>
          <w:tcPr>
            <w:tcW w:w="2639" w:type="dxa"/>
          </w:tcPr>
          <w:p w14:paraId="2E200119" w14:textId="77777777" w:rsidR="00A17F76" w:rsidRPr="002349BA" w:rsidRDefault="00A17F76" w:rsidP="00A17F76">
            <w:pPr>
              <w:pStyle w:val="ListParagraph"/>
              <w:numPr>
                <w:ilvl w:val="0"/>
                <w:numId w:val="4"/>
              </w:numPr>
              <w:rPr>
                <w:rFonts w:ascii="Arial" w:eastAsia="Calibri" w:hAnsi="Arial" w:cs="Arial"/>
                <w:b/>
                <w:bCs/>
                <w:color w:val="000000"/>
                <w:highlight w:val="white"/>
                <w:lang w:eastAsia="en-GB"/>
              </w:rPr>
            </w:pPr>
            <w:r w:rsidRPr="002349BA">
              <w:rPr>
                <w:rFonts w:ascii="Arial" w:eastAsia="Calibri" w:hAnsi="Arial" w:cs="Arial"/>
                <w:b/>
                <w:bCs/>
                <w:color w:val="000000"/>
                <w:highlight w:val="white"/>
                <w:lang w:eastAsia="en-GB"/>
              </w:rPr>
              <w:t>Categories of personal data</w:t>
            </w:r>
          </w:p>
        </w:tc>
        <w:tc>
          <w:tcPr>
            <w:tcW w:w="2884" w:type="dxa"/>
          </w:tcPr>
          <w:p w14:paraId="1CD6E55D" w14:textId="77777777" w:rsidR="00A17F76" w:rsidRPr="002349BA" w:rsidRDefault="00A17F76" w:rsidP="00A17F76">
            <w:pPr>
              <w:pStyle w:val="ListParagraph"/>
              <w:numPr>
                <w:ilvl w:val="0"/>
                <w:numId w:val="4"/>
              </w:numPr>
              <w:rPr>
                <w:rFonts w:ascii="Arial" w:eastAsia="Calibri" w:hAnsi="Arial" w:cs="Arial"/>
                <w:b/>
                <w:bCs/>
                <w:color w:val="000000"/>
                <w:highlight w:val="white"/>
                <w:lang w:eastAsia="en-GB"/>
              </w:rPr>
            </w:pPr>
            <w:r w:rsidRPr="002349BA">
              <w:rPr>
                <w:rFonts w:ascii="Arial" w:eastAsia="Calibri" w:hAnsi="Arial" w:cs="Arial"/>
                <w:b/>
                <w:bCs/>
                <w:color w:val="000000"/>
                <w:highlight w:val="white"/>
                <w:lang w:eastAsia="en-GB"/>
              </w:rPr>
              <w:t>Article 6 Lawful basis for processing personal data</w:t>
            </w:r>
          </w:p>
        </w:tc>
        <w:tc>
          <w:tcPr>
            <w:tcW w:w="1899" w:type="dxa"/>
          </w:tcPr>
          <w:p w14:paraId="7B29ECFC" w14:textId="77777777" w:rsidR="00A17F76" w:rsidRPr="002349BA" w:rsidRDefault="00A17F76" w:rsidP="00A17F76">
            <w:pPr>
              <w:pStyle w:val="ListParagraph"/>
              <w:numPr>
                <w:ilvl w:val="0"/>
                <w:numId w:val="4"/>
              </w:numPr>
              <w:rPr>
                <w:rFonts w:ascii="Arial" w:eastAsia="Calibri" w:hAnsi="Arial" w:cs="Arial"/>
                <w:b/>
                <w:bCs/>
                <w:color w:val="000000"/>
                <w:highlight w:val="white"/>
                <w:lang w:eastAsia="en-GB"/>
              </w:rPr>
            </w:pPr>
            <w:r w:rsidRPr="002349BA">
              <w:rPr>
                <w:rFonts w:ascii="Arial" w:eastAsia="Calibri" w:hAnsi="Arial" w:cs="Arial"/>
                <w:b/>
                <w:bCs/>
                <w:color w:val="000000"/>
                <w:highlight w:val="white"/>
                <w:lang w:eastAsia="en-GB"/>
              </w:rPr>
              <w:t>Legitimate interests for processing (if applicable)</w:t>
            </w:r>
          </w:p>
        </w:tc>
        <w:tc>
          <w:tcPr>
            <w:tcW w:w="1908" w:type="dxa"/>
          </w:tcPr>
          <w:p w14:paraId="12757556" w14:textId="77777777" w:rsidR="00A17F76" w:rsidRPr="002349BA" w:rsidRDefault="00A17F76" w:rsidP="00A17F76">
            <w:pPr>
              <w:pStyle w:val="ListParagraph"/>
              <w:numPr>
                <w:ilvl w:val="0"/>
                <w:numId w:val="4"/>
              </w:numPr>
              <w:rPr>
                <w:rFonts w:ascii="Arial" w:eastAsia="Calibri" w:hAnsi="Arial" w:cs="Arial"/>
                <w:b/>
                <w:bCs/>
                <w:color w:val="000000"/>
                <w:highlight w:val="white"/>
                <w:lang w:eastAsia="en-GB"/>
              </w:rPr>
            </w:pPr>
            <w:r w:rsidRPr="002349BA">
              <w:rPr>
                <w:rFonts w:ascii="Arial" w:eastAsia="Calibri" w:hAnsi="Arial" w:cs="Arial"/>
                <w:b/>
                <w:bCs/>
                <w:color w:val="000000"/>
                <w:highlight w:val="white"/>
                <w:lang w:eastAsia="en-GB"/>
              </w:rPr>
              <w:t>Categories of special category data</w:t>
            </w:r>
          </w:p>
        </w:tc>
        <w:tc>
          <w:tcPr>
            <w:tcW w:w="2337" w:type="dxa"/>
          </w:tcPr>
          <w:p w14:paraId="3F232C66" w14:textId="77777777" w:rsidR="00A17F76" w:rsidRPr="002349BA" w:rsidRDefault="00A17F76" w:rsidP="00A17F76">
            <w:pPr>
              <w:pStyle w:val="ListParagraph"/>
              <w:numPr>
                <w:ilvl w:val="0"/>
                <w:numId w:val="4"/>
              </w:numPr>
              <w:rPr>
                <w:rFonts w:ascii="Arial" w:eastAsia="Calibri" w:hAnsi="Arial" w:cs="Arial"/>
                <w:b/>
                <w:bCs/>
                <w:color w:val="000000"/>
                <w:highlight w:val="white"/>
                <w:lang w:eastAsia="en-GB"/>
              </w:rPr>
            </w:pPr>
            <w:r w:rsidRPr="002349BA">
              <w:rPr>
                <w:rFonts w:ascii="Arial" w:eastAsia="Calibri" w:hAnsi="Arial" w:cs="Arial"/>
                <w:b/>
                <w:bCs/>
                <w:color w:val="000000"/>
                <w:highlight w:val="white"/>
                <w:lang w:eastAsia="en-GB"/>
              </w:rPr>
              <w:t>Article 9 Lawful basis</w:t>
            </w:r>
            <w:r>
              <w:rPr>
                <w:rFonts w:ascii="Arial" w:eastAsia="Calibri" w:hAnsi="Arial" w:cs="Arial"/>
                <w:b/>
                <w:bCs/>
                <w:color w:val="000000"/>
                <w:highlight w:val="white"/>
                <w:lang w:eastAsia="en-GB"/>
              </w:rPr>
              <w:t xml:space="preserve">/condition </w:t>
            </w:r>
            <w:r w:rsidRPr="002349BA">
              <w:rPr>
                <w:rFonts w:ascii="Arial" w:eastAsia="Calibri" w:hAnsi="Arial" w:cs="Arial"/>
                <w:b/>
                <w:bCs/>
                <w:color w:val="000000"/>
                <w:highlight w:val="white"/>
                <w:lang w:eastAsia="en-GB"/>
              </w:rPr>
              <w:t>for processing special categories of data</w:t>
            </w:r>
          </w:p>
        </w:tc>
        <w:tc>
          <w:tcPr>
            <w:tcW w:w="2380" w:type="dxa"/>
          </w:tcPr>
          <w:p w14:paraId="436B1BD2" w14:textId="77777777" w:rsidR="00A17F76" w:rsidRPr="002349BA" w:rsidRDefault="00A17F76" w:rsidP="00A17F76">
            <w:pPr>
              <w:pStyle w:val="ListParagraph"/>
              <w:numPr>
                <w:ilvl w:val="0"/>
                <w:numId w:val="4"/>
              </w:numPr>
              <w:rPr>
                <w:rFonts w:ascii="Arial" w:eastAsia="Calibri" w:hAnsi="Arial" w:cs="Arial"/>
                <w:b/>
                <w:bCs/>
                <w:color w:val="000000"/>
                <w:highlight w:val="white"/>
                <w:lang w:eastAsia="en-GB"/>
              </w:rPr>
            </w:pPr>
            <w:r w:rsidRPr="002349BA">
              <w:rPr>
                <w:rFonts w:ascii="Arial" w:eastAsia="Calibri" w:hAnsi="Arial" w:cs="Arial"/>
                <w:b/>
                <w:bCs/>
                <w:color w:val="000000"/>
                <w:highlight w:val="white"/>
                <w:lang w:eastAsia="en-GB"/>
              </w:rPr>
              <w:t>Article 10 condition for processing of criminal data</w:t>
            </w:r>
          </w:p>
        </w:tc>
      </w:tr>
      <w:tr w:rsidR="00A17F76" w:rsidRPr="00EA79F7" w14:paraId="530977B9" w14:textId="77777777" w:rsidTr="00A17F76">
        <w:tc>
          <w:tcPr>
            <w:tcW w:w="1830" w:type="dxa"/>
          </w:tcPr>
          <w:p w14:paraId="3752EA29" w14:textId="0A2EED67" w:rsidR="00A17F76" w:rsidRPr="006335A8" w:rsidRDefault="00A17F76" w:rsidP="004C79E0">
            <w:pPr>
              <w:rPr>
                <w:rFonts w:ascii="Arial" w:hAnsi="Arial" w:cs="Arial"/>
                <w:color w:val="000000"/>
              </w:rPr>
            </w:pPr>
            <w:r>
              <w:rPr>
                <w:rFonts w:ascii="Arial" w:hAnsi="Arial" w:cs="Arial"/>
                <w:color w:val="000000"/>
              </w:rPr>
              <w:t>Customers</w:t>
            </w:r>
          </w:p>
        </w:tc>
        <w:tc>
          <w:tcPr>
            <w:tcW w:w="2639" w:type="dxa"/>
          </w:tcPr>
          <w:p w14:paraId="7B942C86" w14:textId="24AFFBE4" w:rsidR="00A17F76" w:rsidRPr="006335A8" w:rsidRDefault="00A17F76" w:rsidP="00A17F76">
            <w:pPr>
              <w:rPr>
                <w:rFonts w:ascii="Arial" w:hAnsi="Arial" w:cs="Arial"/>
                <w:color w:val="000000"/>
              </w:rPr>
            </w:pPr>
            <w:r w:rsidRPr="006335A8">
              <w:rPr>
                <w:rFonts w:ascii="Arial" w:hAnsi="Arial" w:cs="Arial"/>
                <w:color w:val="000000"/>
              </w:rPr>
              <w:t>Name, contact details, email address</w:t>
            </w:r>
            <w:r w:rsidRPr="008D5C95">
              <w:rPr>
                <w:rFonts w:ascii="Arial" w:hAnsi="Arial" w:cs="Arial"/>
                <w:color w:val="000000"/>
              </w:rPr>
              <w:t xml:space="preserve">, </w:t>
            </w:r>
            <w:r>
              <w:rPr>
                <w:rFonts w:ascii="Arial" w:hAnsi="Arial" w:cs="Arial"/>
                <w:color w:val="000000"/>
              </w:rPr>
              <w:t>bank details</w:t>
            </w:r>
            <w:r w:rsidRPr="008D5C95">
              <w:rPr>
                <w:rFonts w:ascii="Arial" w:hAnsi="Arial" w:cs="Arial"/>
                <w:color w:val="000000"/>
              </w:rPr>
              <w:t xml:space="preserve"> </w:t>
            </w:r>
          </w:p>
        </w:tc>
        <w:tc>
          <w:tcPr>
            <w:tcW w:w="2884" w:type="dxa"/>
          </w:tcPr>
          <w:p w14:paraId="7E7D03D8" w14:textId="77777777" w:rsidR="00A17F76" w:rsidRPr="006335A8" w:rsidRDefault="00A17F76" w:rsidP="004C79E0">
            <w:pPr>
              <w:rPr>
                <w:rFonts w:ascii="Arial" w:hAnsi="Arial" w:cs="Arial"/>
                <w:color w:val="000000"/>
              </w:rPr>
            </w:pPr>
            <w:r>
              <w:rPr>
                <w:rFonts w:ascii="Arial" w:hAnsi="Arial" w:cs="Arial"/>
                <w:color w:val="000000"/>
              </w:rPr>
              <w:t>L</w:t>
            </w:r>
            <w:r w:rsidRPr="008D5C95">
              <w:rPr>
                <w:rFonts w:ascii="Arial" w:hAnsi="Arial" w:cs="Arial"/>
                <w:color w:val="000000"/>
              </w:rPr>
              <w:t>egitimate interest</w:t>
            </w:r>
          </w:p>
        </w:tc>
        <w:tc>
          <w:tcPr>
            <w:tcW w:w="1899" w:type="dxa"/>
          </w:tcPr>
          <w:p w14:paraId="1D096D48" w14:textId="401E1A5D" w:rsidR="00A17F76" w:rsidRPr="006335A8" w:rsidRDefault="00A17F76" w:rsidP="004C79E0">
            <w:pPr>
              <w:rPr>
                <w:rFonts w:ascii="Arial" w:hAnsi="Arial" w:cs="Arial"/>
                <w:color w:val="000000"/>
              </w:rPr>
            </w:pPr>
            <w:r w:rsidRPr="006335A8">
              <w:rPr>
                <w:rFonts w:ascii="Arial" w:hAnsi="Arial" w:cs="Arial"/>
                <w:color w:val="000000"/>
              </w:rPr>
              <w:t xml:space="preserve">Provision of </w:t>
            </w:r>
            <w:r>
              <w:rPr>
                <w:rFonts w:ascii="Arial" w:hAnsi="Arial" w:cs="Arial"/>
                <w:color w:val="000000"/>
              </w:rPr>
              <w:t>services</w:t>
            </w:r>
          </w:p>
        </w:tc>
        <w:tc>
          <w:tcPr>
            <w:tcW w:w="1908" w:type="dxa"/>
          </w:tcPr>
          <w:p w14:paraId="0DB227B8" w14:textId="5DE64B5C" w:rsidR="00A17F76" w:rsidRPr="006335A8" w:rsidRDefault="00A17F76" w:rsidP="004C79E0">
            <w:pPr>
              <w:rPr>
                <w:rFonts w:ascii="Arial" w:hAnsi="Arial" w:cs="Arial"/>
                <w:color w:val="000000"/>
              </w:rPr>
            </w:pPr>
          </w:p>
        </w:tc>
        <w:tc>
          <w:tcPr>
            <w:tcW w:w="2337" w:type="dxa"/>
          </w:tcPr>
          <w:p w14:paraId="54F23B24" w14:textId="77777777" w:rsidR="00A17F76" w:rsidRDefault="00A17F76" w:rsidP="004C79E0">
            <w:pPr>
              <w:contextualSpacing/>
              <w:rPr>
                <w:rFonts w:ascii="Arial" w:hAnsi="Arial" w:cs="Arial"/>
                <w:color w:val="000000"/>
                <w:highlight w:val="white"/>
              </w:rPr>
            </w:pPr>
          </w:p>
          <w:p w14:paraId="6BD3AAFE" w14:textId="77777777" w:rsidR="00A17F76" w:rsidRPr="00EA79F7" w:rsidRDefault="00A17F76" w:rsidP="004C79E0">
            <w:pPr>
              <w:contextualSpacing/>
              <w:rPr>
                <w:rFonts w:ascii="Arial" w:hAnsi="Arial" w:cs="Arial"/>
                <w:color w:val="000000"/>
                <w:highlight w:val="white"/>
              </w:rPr>
            </w:pPr>
          </w:p>
        </w:tc>
        <w:tc>
          <w:tcPr>
            <w:tcW w:w="2380" w:type="dxa"/>
          </w:tcPr>
          <w:p w14:paraId="3253C716" w14:textId="77777777" w:rsidR="00A17F76" w:rsidRPr="00EA79F7" w:rsidRDefault="00A17F76" w:rsidP="004C79E0">
            <w:pPr>
              <w:rPr>
                <w:rFonts w:ascii="Arial" w:hAnsi="Arial" w:cs="Arial"/>
                <w:color w:val="000000"/>
                <w:highlight w:val="white"/>
              </w:rPr>
            </w:pPr>
          </w:p>
        </w:tc>
      </w:tr>
      <w:tr w:rsidR="00A17F76" w:rsidRPr="00EA79F7" w14:paraId="052EE8EE" w14:textId="77777777" w:rsidTr="00A17F76">
        <w:tc>
          <w:tcPr>
            <w:tcW w:w="1830" w:type="dxa"/>
          </w:tcPr>
          <w:p w14:paraId="7D491660" w14:textId="77777777" w:rsidR="00A17F76" w:rsidRDefault="00A17F76" w:rsidP="004C79E0">
            <w:pPr>
              <w:rPr>
                <w:rFonts w:ascii="Arial" w:hAnsi="Arial" w:cs="Arial"/>
                <w:color w:val="000000"/>
              </w:rPr>
            </w:pPr>
            <w:r>
              <w:rPr>
                <w:rFonts w:ascii="Arial" w:hAnsi="Arial" w:cs="Arial"/>
                <w:color w:val="000000"/>
              </w:rPr>
              <w:t>Employees</w:t>
            </w:r>
          </w:p>
          <w:p w14:paraId="77EC5935" w14:textId="77777777" w:rsidR="00A17F76" w:rsidRPr="00EA79F7" w:rsidRDefault="00A17F76" w:rsidP="004C79E0">
            <w:pPr>
              <w:jc w:val="both"/>
              <w:rPr>
                <w:rFonts w:ascii="Arial" w:hAnsi="Arial" w:cs="Arial"/>
                <w:color w:val="000000"/>
                <w:highlight w:val="white"/>
              </w:rPr>
            </w:pPr>
          </w:p>
        </w:tc>
        <w:tc>
          <w:tcPr>
            <w:tcW w:w="2639" w:type="dxa"/>
          </w:tcPr>
          <w:p w14:paraId="41273BAB" w14:textId="77777777" w:rsidR="00A17F76" w:rsidRPr="00EA79F7" w:rsidRDefault="00A17F76" w:rsidP="004C79E0">
            <w:pPr>
              <w:jc w:val="both"/>
              <w:rPr>
                <w:rFonts w:ascii="Arial" w:hAnsi="Arial" w:cs="Arial"/>
                <w:color w:val="000000"/>
                <w:highlight w:val="white"/>
              </w:rPr>
            </w:pPr>
            <w:r w:rsidRPr="006335A8">
              <w:rPr>
                <w:rFonts w:ascii="Arial" w:hAnsi="Arial" w:cs="Arial"/>
                <w:color w:val="000000"/>
              </w:rPr>
              <w:t>Name, email address, contact d</w:t>
            </w:r>
            <w:r w:rsidRPr="008D5C95">
              <w:rPr>
                <w:rFonts w:ascii="Arial" w:hAnsi="Arial" w:cs="Arial"/>
                <w:color w:val="000000"/>
              </w:rPr>
              <w:t>etails</w:t>
            </w:r>
            <w:r>
              <w:rPr>
                <w:rFonts w:ascii="Arial" w:hAnsi="Arial" w:cs="Arial"/>
                <w:color w:val="000000"/>
              </w:rPr>
              <w:t>, next of kin details, bank details, National Insurance number</w:t>
            </w:r>
          </w:p>
        </w:tc>
        <w:tc>
          <w:tcPr>
            <w:tcW w:w="2884" w:type="dxa"/>
          </w:tcPr>
          <w:p w14:paraId="1928DAE0" w14:textId="77777777" w:rsidR="00A17F76" w:rsidRPr="00EA79F7" w:rsidRDefault="00A17F76" w:rsidP="004C79E0">
            <w:pPr>
              <w:rPr>
                <w:rFonts w:ascii="Arial" w:hAnsi="Arial" w:cs="Arial"/>
                <w:color w:val="000000"/>
                <w:highlight w:val="white"/>
              </w:rPr>
            </w:pPr>
            <w:r>
              <w:rPr>
                <w:rFonts w:ascii="Arial" w:hAnsi="Arial" w:cs="Arial"/>
                <w:color w:val="000000"/>
              </w:rPr>
              <w:t>Contract – necessary to fulfil contract in course of employment</w:t>
            </w:r>
          </w:p>
        </w:tc>
        <w:tc>
          <w:tcPr>
            <w:tcW w:w="1899" w:type="dxa"/>
          </w:tcPr>
          <w:p w14:paraId="4F618F5A" w14:textId="77777777" w:rsidR="00A17F76" w:rsidRPr="00EA79F7" w:rsidRDefault="00A17F76" w:rsidP="004C79E0">
            <w:pPr>
              <w:jc w:val="both"/>
              <w:rPr>
                <w:rFonts w:ascii="Arial" w:hAnsi="Arial" w:cs="Arial"/>
                <w:color w:val="000000"/>
                <w:highlight w:val="white"/>
              </w:rPr>
            </w:pPr>
          </w:p>
        </w:tc>
        <w:tc>
          <w:tcPr>
            <w:tcW w:w="1908" w:type="dxa"/>
          </w:tcPr>
          <w:p w14:paraId="6CC55093" w14:textId="77777777" w:rsidR="00A17F76" w:rsidRPr="00EA79F7" w:rsidRDefault="00A17F76" w:rsidP="004C79E0">
            <w:pPr>
              <w:rPr>
                <w:rFonts w:ascii="Arial" w:hAnsi="Arial" w:cs="Arial"/>
                <w:color w:val="000000"/>
                <w:highlight w:val="white"/>
              </w:rPr>
            </w:pPr>
            <w:r>
              <w:rPr>
                <w:rFonts w:ascii="Arial" w:hAnsi="Arial" w:cs="Arial"/>
                <w:color w:val="000000"/>
              </w:rPr>
              <w:t>Health data, Nationality</w:t>
            </w:r>
          </w:p>
        </w:tc>
        <w:tc>
          <w:tcPr>
            <w:tcW w:w="2337" w:type="dxa"/>
          </w:tcPr>
          <w:p w14:paraId="0AAA8B62" w14:textId="77777777" w:rsidR="00A17F76" w:rsidRPr="00EA79F7" w:rsidRDefault="00A17F76" w:rsidP="004C1244">
            <w:pPr>
              <w:pStyle w:val="ListParagraph"/>
              <w:ind w:left="360"/>
              <w:rPr>
                <w:rFonts w:ascii="Arial" w:hAnsi="Arial" w:cs="Arial"/>
                <w:color w:val="000000"/>
                <w:highlight w:val="white"/>
              </w:rPr>
            </w:pPr>
          </w:p>
        </w:tc>
        <w:tc>
          <w:tcPr>
            <w:tcW w:w="2380" w:type="dxa"/>
          </w:tcPr>
          <w:p w14:paraId="4BB1F5C8" w14:textId="77777777" w:rsidR="00A17F76" w:rsidRPr="00EA79F7" w:rsidRDefault="00A17F76" w:rsidP="004C79E0">
            <w:pPr>
              <w:jc w:val="both"/>
              <w:rPr>
                <w:rFonts w:ascii="Arial" w:hAnsi="Arial" w:cs="Arial"/>
                <w:color w:val="000000"/>
                <w:highlight w:val="white"/>
              </w:rPr>
            </w:pPr>
          </w:p>
        </w:tc>
      </w:tr>
      <w:tr w:rsidR="00A17F76" w:rsidRPr="00EA79F7" w14:paraId="253413F4" w14:textId="77777777" w:rsidTr="00A17F76">
        <w:tc>
          <w:tcPr>
            <w:tcW w:w="1830" w:type="dxa"/>
          </w:tcPr>
          <w:p w14:paraId="73AA9BD2" w14:textId="77777777" w:rsidR="00A17F76" w:rsidRPr="00EA79F7" w:rsidRDefault="00A17F76" w:rsidP="004C79E0">
            <w:pPr>
              <w:jc w:val="both"/>
              <w:rPr>
                <w:rFonts w:ascii="Arial" w:hAnsi="Arial" w:cs="Arial"/>
                <w:color w:val="000000"/>
                <w:highlight w:val="white"/>
              </w:rPr>
            </w:pPr>
          </w:p>
        </w:tc>
        <w:tc>
          <w:tcPr>
            <w:tcW w:w="2639" w:type="dxa"/>
          </w:tcPr>
          <w:p w14:paraId="7328AB51" w14:textId="77777777" w:rsidR="00A17F76" w:rsidRPr="00EA79F7" w:rsidRDefault="00A17F76" w:rsidP="004C79E0">
            <w:pPr>
              <w:jc w:val="both"/>
              <w:rPr>
                <w:rFonts w:ascii="Arial" w:hAnsi="Arial" w:cs="Arial"/>
                <w:color w:val="000000"/>
                <w:highlight w:val="white"/>
              </w:rPr>
            </w:pPr>
          </w:p>
        </w:tc>
        <w:tc>
          <w:tcPr>
            <w:tcW w:w="2884" w:type="dxa"/>
          </w:tcPr>
          <w:p w14:paraId="7A412F25" w14:textId="77777777" w:rsidR="00A17F76" w:rsidRPr="00EA79F7" w:rsidRDefault="00A17F76" w:rsidP="004C79E0">
            <w:pPr>
              <w:jc w:val="both"/>
              <w:rPr>
                <w:rFonts w:ascii="Arial" w:hAnsi="Arial" w:cs="Arial"/>
                <w:color w:val="000000"/>
                <w:highlight w:val="white"/>
              </w:rPr>
            </w:pPr>
          </w:p>
        </w:tc>
        <w:tc>
          <w:tcPr>
            <w:tcW w:w="1899" w:type="dxa"/>
          </w:tcPr>
          <w:p w14:paraId="31BA8DDC" w14:textId="77777777" w:rsidR="00A17F76" w:rsidRPr="00EA79F7" w:rsidRDefault="00A17F76" w:rsidP="004C79E0">
            <w:pPr>
              <w:jc w:val="both"/>
              <w:rPr>
                <w:rFonts w:ascii="Arial" w:hAnsi="Arial" w:cs="Arial"/>
                <w:color w:val="000000"/>
                <w:highlight w:val="white"/>
              </w:rPr>
            </w:pPr>
          </w:p>
        </w:tc>
        <w:tc>
          <w:tcPr>
            <w:tcW w:w="1908" w:type="dxa"/>
          </w:tcPr>
          <w:p w14:paraId="5CE10EA8" w14:textId="77777777" w:rsidR="00A17F76" w:rsidRPr="00EA79F7" w:rsidRDefault="00A17F76" w:rsidP="004C79E0">
            <w:pPr>
              <w:jc w:val="both"/>
              <w:rPr>
                <w:rFonts w:ascii="Arial" w:hAnsi="Arial" w:cs="Arial"/>
                <w:color w:val="000000"/>
                <w:highlight w:val="white"/>
              </w:rPr>
            </w:pPr>
          </w:p>
        </w:tc>
        <w:tc>
          <w:tcPr>
            <w:tcW w:w="2337" w:type="dxa"/>
          </w:tcPr>
          <w:p w14:paraId="40FC25C9" w14:textId="77777777" w:rsidR="00A17F76" w:rsidRPr="00EA79F7" w:rsidRDefault="00A17F76" w:rsidP="004C79E0">
            <w:pPr>
              <w:jc w:val="both"/>
              <w:rPr>
                <w:rFonts w:ascii="Arial" w:hAnsi="Arial" w:cs="Arial"/>
                <w:color w:val="000000"/>
                <w:highlight w:val="white"/>
              </w:rPr>
            </w:pPr>
          </w:p>
        </w:tc>
        <w:tc>
          <w:tcPr>
            <w:tcW w:w="2380" w:type="dxa"/>
          </w:tcPr>
          <w:p w14:paraId="2442794C" w14:textId="77777777" w:rsidR="00A17F76" w:rsidRPr="00EA79F7" w:rsidRDefault="00A17F76" w:rsidP="004C79E0">
            <w:pPr>
              <w:jc w:val="both"/>
              <w:rPr>
                <w:rFonts w:ascii="Arial" w:hAnsi="Arial" w:cs="Arial"/>
                <w:color w:val="000000"/>
                <w:highlight w:val="white"/>
              </w:rPr>
            </w:pPr>
          </w:p>
        </w:tc>
      </w:tr>
      <w:tr w:rsidR="00A17F76" w:rsidRPr="00EA79F7" w14:paraId="19B92F09" w14:textId="77777777" w:rsidTr="00A17F76">
        <w:tc>
          <w:tcPr>
            <w:tcW w:w="1830" w:type="dxa"/>
          </w:tcPr>
          <w:p w14:paraId="59EE4C15" w14:textId="77777777" w:rsidR="00A17F76" w:rsidRPr="00EA79F7" w:rsidRDefault="00A17F76" w:rsidP="004C79E0">
            <w:pPr>
              <w:jc w:val="both"/>
              <w:rPr>
                <w:rFonts w:ascii="Arial" w:hAnsi="Arial" w:cs="Arial"/>
                <w:color w:val="000000"/>
                <w:highlight w:val="white"/>
              </w:rPr>
            </w:pPr>
          </w:p>
        </w:tc>
        <w:tc>
          <w:tcPr>
            <w:tcW w:w="2639" w:type="dxa"/>
          </w:tcPr>
          <w:p w14:paraId="25E9B6AB" w14:textId="77777777" w:rsidR="00A17F76" w:rsidRPr="00EA79F7" w:rsidRDefault="00A17F76" w:rsidP="004C79E0">
            <w:pPr>
              <w:jc w:val="both"/>
              <w:rPr>
                <w:rFonts w:ascii="Arial" w:hAnsi="Arial" w:cs="Arial"/>
                <w:color w:val="000000"/>
                <w:highlight w:val="white"/>
              </w:rPr>
            </w:pPr>
          </w:p>
        </w:tc>
        <w:tc>
          <w:tcPr>
            <w:tcW w:w="2884" w:type="dxa"/>
          </w:tcPr>
          <w:p w14:paraId="12118D53" w14:textId="77777777" w:rsidR="00A17F76" w:rsidRPr="00EA79F7" w:rsidRDefault="00A17F76" w:rsidP="004C79E0">
            <w:pPr>
              <w:jc w:val="both"/>
              <w:rPr>
                <w:rFonts w:ascii="Arial" w:hAnsi="Arial" w:cs="Arial"/>
                <w:color w:val="000000"/>
                <w:highlight w:val="white"/>
              </w:rPr>
            </w:pPr>
          </w:p>
        </w:tc>
        <w:tc>
          <w:tcPr>
            <w:tcW w:w="1899" w:type="dxa"/>
          </w:tcPr>
          <w:p w14:paraId="46675C67" w14:textId="77777777" w:rsidR="00A17F76" w:rsidRPr="00EA79F7" w:rsidRDefault="00A17F76" w:rsidP="004C79E0">
            <w:pPr>
              <w:jc w:val="both"/>
              <w:rPr>
                <w:rFonts w:ascii="Arial" w:hAnsi="Arial" w:cs="Arial"/>
                <w:color w:val="000000"/>
                <w:highlight w:val="white"/>
              </w:rPr>
            </w:pPr>
          </w:p>
        </w:tc>
        <w:tc>
          <w:tcPr>
            <w:tcW w:w="1908" w:type="dxa"/>
          </w:tcPr>
          <w:p w14:paraId="0650BE8D" w14:textId="77777777" w:rsidR="00A17F76" w:rsidRPr="00EA79F7" w:rsidRDefault="00A17F76" w:rsidP="004C79E0">
            <w:pPr>
              <w:jc w:val="both"/>
              <w:rPr>
                <w:rFonts w:ascii="Arial" w:hAnsi="Arial" w:cs="Arial"/>
                <w:color w:val="000000"/>
                <w:highlight w:val="white"/>
              </w:rPr>
            </w:pPr>
          </w:p>
        </w:tc>
        <w:tc>
          <w:tcPr>
            <w:tcW w:w="2337" w:type="dxa"/>
          </w:tcPr>
          <w:p w14:paraId="62AAE69C" w14:textId="77777777" w:rsidR="00A17F76" w:rsidRPr="00EA79F7" w:rsidRDefault="00A17F76" w:rsidP="004C79E0">
            <w:pPr>
              <w:jc w:val="both"/>
              <w:rPr>
                <w:rFonts w:ascii="Arial" w:hAnsi="Arial" w:cs="Arial"/>
                <w:color w:val="000000"/>
                <w:highlight w:val="white"/>
              </w:rPr>
            </w:pPr>
          </w:p>
        </w:tc>
        <w:tc>
          <w:tcPr>
            <w:tcW w:w="2380" w:type="dxa"/>
          </w:tcPr>
          <w:p w14:paraId="515DE223" w14:textId="77777777" w:rsidR="00A17F76" w:rsidRPr="00EA79F7" w:rsidRDefault="00A17F76" w:rsidP="004C79E0">
            <w:pPr>
              <w:jc w:val="both"/>
              <w:rPr>
                <w:rFonts w:ascii="Arial" w:hAnsi="Arial" w:cs="Arial"/>
                <w:color w:val="000000"/>
                <w:highlight w:val="white"/>
              </w:rPr>
            </w:pPr>
          </w:p>
        </w:tc>
      </w:tr>
      <w:tr w:rsidR="00A17F76" w:rsidRPr="00EA79F7" w14:paraId="33E3A412" w14:textId="77777777" w:rsidTr="00A17F76">
        <w:tc>
          <w:tcPr>
            <w:tcW w:w="1830" w:type="dxa"/>
          </w:tcPr>
          <w:p w14:paraId="704E2955" w14:textId="77777777" w:rsidR="00A17F76" w:rsidRPr="00EA79F7" w:rsidRDefault="00A17F76" w:rsidP="004C79E0">
            <w:pPr>
              <w:jc w:val="both"/>
              <w:rPr>
                <w:rFonts w:ascii="Arial" w:hAnsi="Arial" w:cs="Arial"/>
                <w:color w:val="000000"/>
                <w:highlight w:val="white"/>
              </w:rPr>
            </w:pPr>
          </w:p>
        </w:tc>
        <w:tc>
          <w:tcPr>
            <w:tcW w:w="2639" w:type="dxa"/>
          </w:tcPr>
          <w:p w14:paraId="0194A382" w14:textId="77777777" w:rsidR="00A17F76" w:rsidRPr="00EA79F7" w:rsidRDefault="00A17F76" w:rsidP="004C79E0">
            <w:pPr>
              <w:jc w:val="both"/>
              <w:rPr>
                <w:rFonts w:ascii="Arial" w:hAnsi="Arial" w:cs="Arial"/>
                <w:color w:val="000000"/>
                <w:highlight w:val="white"/>
              </w:rPr>
            </w:pPr>
          </w:p>
        </w:tc>
        <w:tc>
          <w:tcPr>
            <w:tcW w:w="2884" w:type="dxa"/>
          </w:tcPr>
          <w:p w14:paraId="3E516EFE" w14:textId="77777777" w:rsidR="00A17F76" w:rsidRPr="00EA79F7" w:rsidRDefault="00A17F76" w:rsidP="004C79E0">
            <w:pPr>
              <w:jc w:val="both"/>
              <w:rPr>
                <w:rFonts w:ascii="Arial" w:hAnsi="Arial" w:cs="Arial"/>
                <w:color w:val="000000"/>
                <w:highlight w:val="white"/>
              </w:rPr>
            </w:pPr>
          </w:p>
        </w:tc>
        <w:tc>
          <w:tcPr>
            <w:tcW w:w="1899" w:type="dxa"/>
          </w:tcPr>
          <w:p w14:paraId="551BEC07" w14:textId="77777777" w:rsidR="00A17F76" w:rsidRPr="00EA79F7" w:rsidRDefault="00A17F76" w:rsidP="004C79E0">
            <w:pPr>
              <w:jc w:val="both"/>
              <w:rPr>
                <w:rFonts w:ascii="Arial" w:hAnsi="Arial" w:cs="Arial"/>
                <w:color w:val="000000"/>
                <w:highlight w:val="white"/>
              </w:rPr>
            </w:pPr>
          </w:p>
        </w:tc>
        <w:tc>
          <w:tcPr>
            <w:tcW w:w="1908" w:type="dxa"/>
          </w:tcPr>
          <w:p w14:paraId="2B3AA11C" w14:textId="77777777" w:rsidR="00A17F76" w:rsidRPr="00EA79F7" w:rsidRDefault="00A17F76" w:rsidP="004C79E0">
            <w:pPr>
              <w:jc w:val="both"/>
              <w:rPr>
                <w:rFonts w:ascii="Arial" w:hAnsi="Arial" w:cs="Arial"/>
                <w:color w:val="000000"/>
                <w:highlight w:val="white"/>
              </w:rPr>
            </w:pPr>
          </w:p>
        </w:tc>
        <w:tc>
          <w:tcPr>
            <w:tcW w:w="2337" w:type="dxa"/>
          </w:tcPr>
          <w:p w14:paraId="03437D7A" w14:textId="77777777" w:rsidR="00A17F76" w:rsidRPr="00EA79F7" w:rsidRDefault="00A17F76" w:rsidP="004C79E0">
            <w:pPr>
              <w:jc w:val="both"/>
              <w:rPr>
                <w:rFonts w:ascii="Arial" w:hAnsi="Arial" w:cs="Arial"/>
                <w:color w:val="000000"/>
                <w:highlight w:val="white"/>
              </w:rPr>
            </w:pPr>
          </w:p>
        </w:tc>
        <w:tc>
          <w:tcPr>
            <w:tcW w:w="2380" w:type="dxa"/>
          </w:tcPr>
          <w:p w14:paraId="4F315DAD" w14:textId="77777777" w:rsidR="00A17F76" w:rsidRPr="00EA79F7" w:rsidRDefault="00A17F76" w:rsidP="004C79E0">
            <w:pPr>
              <w:jc w:val="both"/>
              <w:rPr>
                <w:rFonts w:ascii="Arial" w:hAnsi="Arial" w:cs="Arial"/>
                <w:color w:val="000000"/>
                <w:highlight w:val="white"/>
              </w:rPr>
            </w:pPr>
          </w:p>
        </w:tc>
      </w:tr>
      <w:tr w:rsidR="00A17F76" w:rsidRPr="00EA79F7" w14:paraId="3C152A84" w14:textId="77777777" w:rsidTr="00A17F76">
        <w:tc>
          <w:tcPr>
            <w:tcW w:w="1830" w:type="dxa"/>
          </w:tcPr>
          <w:p w14:paraId="3F1A1870" w14:textId="77777777" w:rsidR="00A17F76" w:rsidRPr="00EA79F7" w:rsidRDefault="00A17F76" w:rsidP="004C79E0">
            <w:pPr>
              <w:jc w:val="both"/>
              <w:rPr>
                <w:rFonts w:ascii="Arial" w:hAnsi="Arial" w:cs="Arial"/>
                <w:color w:val="000000"/>
                <w:highlight w:val="white"/>
              </w:rPr>
            </w:pPr>
          </w:p>
        </w:tc>
        <w:tc>
          <w:tcPr>
            <w:tcW w:w="2639" w:type="dxa"/>
          </w:tcPr>
          <w:p w14:paraId="6728489E" w14:textId="77777777" w:rsidR="00A17F76" w:rsidRPr="00EA79F7" w:rsidRDefault="00A17F76" w:rsidP="004C79E0">
            <w:pPr>
              <w:jc w:val="both"/>
              <w:rPr>
                <w:rFonts w:ascii="Arial" w:hAnsi="Arial" w:cs="Arial"/>
                <w:color w:val="000000"/>
                <w:highlight w:val="white"/>
              </w:rPr>
            </w:pPr>
          </w:p>
        </w:tc>
        <w:tc>
          <w:tcPr>
            <w:tcW w:w="2884" w:type="dxa"/>
          </w:tcPr>
          <w:p w14:paraId="0F76BDA1" w14:textId="77777777" w:rsidR="00A17F76" w:rsidRPr="00EA79F7" w:rsidRDefault="00A17F76" w:rsidP="004C79E0">
            <w:pPr>
              <w:jc w:val="both"/>
              <w:rPr>
                <w:rFonts w:ascii="Arial" w:hAnsi="Arial" w:cs="Arial"/>
                <w:color w:val="000000"/>
                <w:highlight w:val="white"/>
              </w:rPr>
            </w:pPr>
          </w:p>
        </w:tc>
        <w:tc>
          <w:tcPr>
            <w:tcW w:w="1899" w:type="dxa"/>
          </w:tcPr>
          <w:p w14:paraId="59557000" w14:textId="77777777" w:rsidR="00A17F76" w:rsidRPr="00EA79F7" w:rsidRDefault="00A17F76" w:rsidP="004C79E0">
            <w:pPr>
              <w:jc w:val="both"/>
              <w:rPr>
                <w:rFonts w:ascii="Arial" w:hAnsi="Arial" w:cs="Arial"/>
                <w:color w:val="000000"/>
                <w:highlight w:val="white"/>
              </w:rPr>
            </w:pPr>
          </w:p>
        </w:tc>
        <w:tc>
          <w:tcPr>
            <w:tcW w:w="1908" w:type="dxa"/>
          </w:tcPr>
          <w:p w14:paraId="3DB697C7" w14:textId="77777777" w:rsidR="00A17F76" w:rsidRPr="00EA79F7" w:rsidRDefault="00A17F76" w:rsidP="004C79E0">
            <w:pPr>
              <w:jc w:val="both"/>
              <w:rPr>
                <w:rFonts w:ascii="Arial" w:hAnsi="Arial" w:cs="Arial"/>
                <w:color w:val="000000"/>
                <w:highlight w:val="white"/>
              </w:rPr>
            </w:pPr>
          </w:p>
        </w:tc>
        <w:tc>
          <w:tcPr>
            <w:tcW w:w="2337" w:type="dxa"/>
          </w:tcPr>
          <w:p w14:paraId="20E976BA" w14:textId="77777777" w:rsidR="00A17F76" w:rsidRPr="00EA79F7" w:rsidRDefault="00A17F76" w:rsidP="004C79E0">
            <w:pPr>
              <w:jc w:val="both"/>
              <w:rPr>
                <w:rFonts w:ascii="Arial" w:hAnsi="Arial" w:cs="Arial"/>
                <w:color w:val="000000"/>
                <w:highlight w:val="white"/>
              </w:rPr>
            </w:pPr>
          </w:p>
        </w:tc>
        <w:tc>
          <w:tcPr>
            <w:tcW w:w="2380" w:type="dxa"/>
          </w:tcPr>
          <w:p w14:paraId="377C7159" w14:textId="77777777" w:rsidR="00A17F76" w:rsidRPr="00EA79F7" w:rsidRDefault="00A17F76" w:rsidP="004C79E0">
            <w:pPr>
              <w:jc w:val="both"/>
              <w:rPr>
                <w:rFonts w:ascii="Arial" w:hAnsi="Arial" w:cs="Arial"/>
                <w:color w:val="000000"/>
                <w:highlight w:val="white"/>
              </w:rPr>
            </w:pPr>
          </w:p>
        </w:tc>
      </w:tr>
      <w:tr w:rsidR="00A17F76" w:rsidRPr="00EA79F7" w14:paraId="0F94B0CF" w14:textId="77777777" w:rsidTr="00A17F76">
        <w:tc>
          <w:tcPr>
            <w:tcW w:w="1830" w:type="dxa"/>
          </w:tcPr>
          <w:p w14:paraId="130CD2DD" w14:textId="77777777" w:rsidR="00A17F76" w:rsidRPr="00EA79F7" w:rsidRDefault="00A17F76" w:rsidP="004C79E0">
            <w:pPr>
              <w:jc w:val="both"/>
              <w:rPr>
                <w:rFonts w:ascii="Arial" w:hAnsi="Arial" w:cs="Arial"/>
                <w:color w:val="000000"/>
                <w:highlight w:val="white"/>
              </w:rPr>
            </w:pPr>
          </w:p>
        </w:tc>
        <w:tc>
          <w:tcPr>
            <w:tcW w:w="2639" w:type="dxa"/>
          </w:tcPr>
          <w:p w14:paraId="6E0211A5" w14:textId="77777777" w:rsidR="00A17F76" w:rsidRPr="00EA79F7" w:rsidRDefault="00A17F76" w:rsidP="004C79E0">
            <w:pPr>
              <w:jc w:val="both"/>
              <w:rPr>
                <w:rFonts w:ascii="Arial" w:hAnsi="Arial" w:cs="Arial"/>
                <w:color w:val="000000"/>
                <w:highlight w:val="white"/>
              </w:rPr>
            </w:pPr>
          </w:p>
        </w:tc>
        <w:tc>
          <w:tcPr>
            <w:tcW w:w="2884" w:type="dxa"/>
          </w:tcPr>
          <w:p w14:paraId="606BCAF8" w14:textId="77777777" w:rsidR="00A17F76" w:rsidRPr="00EA79F7" w:rsidRDefault="00A17F76" w:rsidP="004C79E0">
            <w:pPr>
              <w:jc w:val="both"/>
              <w:rPr>
                <w:rFonts w:ascii="Arial" w:hAnsi="Arial" w:cs="Arial"/>
                <w:color w:val="000000"/>
                <w:highlight w:val="white"/>
              </w:rPr>
            </w:pPr>
          </w:p>
        </w:tc>
        <w:tc>
          <w:tcPr>
            <w:tcW w:w="1899" w:type="dxa"/>
          </w:tcPr>
          <w:p w14:paraId="225678D1" w14:textId="77777777" w:rsidR="00A17F76" w:rsidRPr="00EA79F7" w:rsidRDefault="00A17F76" w:rsidP="004C79E0">
            <w:pPr>
              <w:jc w:val="both"/>
              <w:rPr>
                <w:rFonts w:ascii="Arial" w:hAnsi="Arial" w:cs="Arial"/>
                <w:color w:val="000000"/>
                <w:highlight w:val="white"/>
              </w:rPr>
            </w:pPr>
          </w:p>
        </w:tc>
        <w:tc>
          <w:tcPr>
            <w:tcW w:w="1908" w:type="dxa"/>
          </w:tcPr>
          <w:p w14:paraId="6A65B2E7" w14:textId="77777777" w:rsidR="00A17F76" w:rsidRPr="00EA79F7" w:rsidRDefault="00A17F76" w:rsidP="004C79E0">
            <w:pPr>
              <w:jc w:val="both"/>
              <w:rPr>
                <w:rFonts w:ascii="Arial" w:hAnsi="Arial" w:cs="Arial"/>
                <w:color w:val="000000"/>
                <w:highlight w:val="white"/>
              </w:rPr>
            </w:pPr>
          </w:p>
        </w:tc>
        <w:tc>
          <w:tcPr>
            <w:tcW w:w="2337" w:type="dxa"/>
          </w:tcPr>
          <w:p w14:paraId="5A8D44F9" w14:textId="77777777" w:rsidR="00A17F76" w:rsidRPr="00EA79F7" w:rsidRDefault="00A17F76" w:rsidP="004C79E0">
            <w:pPr>
              <w:jc w:val="both"/>
              <w:rPr>
                <w:rFonts w:ascii="Arial" w:hAnsi="Arial" w:cs="Arial"/>
                <w:color w:val="000000"/>
                <w:highlight w:val="white"/>
              </w:rPr>
            </w:pPr>
          </w:p>
        </w:tc>
        <w:tc>
          <w:tcPr>
            <w:tcW w:w="2380" w:type="dxa"/>
          </w:tcPr>
          <w:p w14:paraId="789BE45D" w14:textId="77777777" w:rsidR="00A17F76" w:rsidRPr="00EA79F7" w:rsidRDefault="00A17F76" w:rsidP="004C79E0">
            <w:pPr>
              <w:jc w:val="both"/>
              <w:rPr>
                <w:rFonts w:ascii="Arial" w:hAnsi="Arial" w:cs="Arial"/>
                <w:color w:val="000000"/>
                <w:highlight w:val="white"/>
              </w:rPr>
            </w:pPr>
          </w:p>
        </w:tc>
      </w:tr>
      <w:tr w:rsidR="00A17F76" w:rsidRPr="00EA79F7" w14:paraId="74165F37" w14:textId="77777777" w:rsidTr="00A17F76">
        <w:tc>
          <w:tcPr>
            <w:tcW w:w="1830" w:type="dxa"/>
          </w:tcPr>
          <w:p w14:paraId="564FB3C3" w14:textId="77777777" w:rsidR="00A17F76" w:rsidRPr="00EA79F7" w:rsidRDefault="00A17F76" w:rsidP="004C79E0">
            <w:pPr>
              <w:jc w:val="both"/>
              <w:rPr>
                <w:rFonts w:ascii="Arial" w:hAnsi="Arial" w:cs="Arial"/>
                <w:color w:val="000000"/>
                <w:highlight w:val="white"/>
              </w:rPr>
            </w:pPr>
          </w:p>
        </w:tc>
        <w:tc>
          <w:tcPr>
            <w:tcW w:w="2639" w:type="dxa"/>
          </w:tcPr>
          <w:p w14:paraId="4AB03361" w14:textId="77777777" w:rsidR="00A17F76" w:rsidRPr="00EA79F7" w:rsidRDefault="00A17F76" w:rsidP="004C79E0">
            <w:pPr>
              <w:jc w:val="both"/>
              <w:rPr>
                <w:rFonts w:ascii="Arial" w:hAnsi="Arial" w:cs="Arial"/>
                <w:color w:val="000000"/>
                <w:highlight w:val="white"/>
              </w:rPr>
            </w:pPr>
          </w:p>
        </w:tc>
        <w:tc>
          <w:tcPr>
            <w:tcW w:w="2884" w:type="dxa"/>
          </w:tcPr>
          <w:p w14:paraId="64AFED86" w14:textId="77777777" w:rsidR="00A17F76" w:rsidRPr="00EA79F7" w:rsidRDefault="00A17F76" w:rsidP="004C79E0">
            <w:pPr>
              <w:jc w:val="both"/>
              <w:rPr>
                <w:rFonts w:ascii="Arial" w:hAnsi="Arial" w:cs="Arial"/>
                <w:color w:val="000000"/>
                <w:highlight w:val="white"/>
              </w:rPr>
            </w:pPr>
          </w:p>
        </w:tc>
        <w:tc>
          <w:tcPr>
            <w:tcW w:w="1899" w:type="dxa"/>
          </w:tcPr>
          <w:p w14:paraId="4C380CFD" w14:textId="77777777" w:rsidR="00A17F76" w:rsidRPr="00EA79F7" w:rsidRDefault="00A17F76" w:rsidP="004C79E0">
            <w:pPr>
              <w:jc w:val="both"/>
              <w:rPr>
                <w:rFonts w:ascii="Arial" w:hAnsi="Arial" w:cs="Arial"/>
                <w:color w:val="000000"/>
                <w:highlight w:val="white"/>
              </w:rPr>
            </w:pPr>
          </w:p>
        </w:tc>
        <w:tc>
          <w:tcPr>
            <w:tcW w:w="1908" w:type="dxa"/>
          </w:tcPr>
          <w:p w14:paraId="1D57218D" w14:textId="77777777" w:rsidR="00A17F76" w:rsidRPr="00EA79F7" w:rsidRDefault="00A17F76" w:rsidP="004C79E0">
            <w:pPr>
              <w:jc w:val="both"/>
              <w:rPr>
                <w:rFonts w:ascii="Arial" w:hAnsi="Arial" w:cs="Arial"/>
                <w:color w:val="000000"/>
                <w:highlight w:val="white"/>
              </w:rPr>
            </w:pPr>
          </w:p>
        </w:tc>
        <w:tc>
          <w:tcPr>
            <w:tcW w:w="2337" w:type="dxa"/>
          </w:tcPr>
          <w:p w14:paraId="32AED752" w14:textId="77777777" w:rsidR="00A17F76" w:rsidRPr="00EA79F7" w:rsidRDefault="00A17F76" w:rsidP="004C79E0">
            <w:pPr>
              <w:jc w:val="both"/>
              <w:rPr>
                <w:rFonts w:ascii="Arial" w:hAnsi="Arial" w:cs="Arial"/>
                <w:color w:val="000000"/>
                <w:highlight w:val="white"/>
              </w:rPr>
            </w:pPr>
          </w:p>
        </w:tc>
        <w:tc>
          <w:tcPr>
            <w:tcW w:w="2380" w:type="dxa"/>
          </w:tcPr>
          <w:p w14:paraId="788727FF" w14:textId="77777777" w:rsidR="00A17F76" w:rsidRPr="00EA79F7" w:rsidRDefault="00A17F76" w:rsidP="004C79E0">
            <w:pPr>
              <w:jc w:val="both"/>
              <w:rPr>
                <w:rFonts w:ascii="Arial" w:hAnsi="Arial" w:cs="Arial"/>
                <w:color w:val="000000"/>
                <w:highlight w:val="white"/>
              </w:rPr>
            </w:pPr>
          </w:p>
        </w:tc>
      </w:tr>
      <w:tr w:rsidR="00A17F76" w:rsidRPr="00EA79F7" w14:paraId="05CEE9BE" w14:textId="77777777" w:rsidTr="00A17F76">
        <w:tc>
          <w:tcPr>
            <w:tcW w:w="1830" w:type="dxa"/>
          </w:tcPr>
          <w:p w14:paraId="194FAB4E" w14:textId="77777777" w:rsidR="00A17F76" w:rsidRPr="00EA79F7" w:rsidRDefault="00A17F76" w:rsidP="004C79E0">
            <w:pPr>
              <w:jc w:val="both"/>
              <w:rPr>
                <w:rFonts w:ascii="Arial" w:hAnsi="Arial" w:cs="Arial"/>
                <w:color w:val="000000"/>
                <w:highlight w:val="white"/>
              </w:rPr>
            </w:pPr>
          </w:p>
        </w:tc>
        <w:tc>
          <w:tcPr>
            <w:tcW w:w="2639" w:type="dxa"/>
          </w:tcPr>
          <w:p w14:paraId="206B9F96" w14:textId="77777777" w:rsidR="00A17F76" w:rsidRPr="00EA79F7" w:rsidRDefault="00A17F76" w:rsidP="004C79E0">
            <w:pPr>
              <w:jc w:val="both"/>
              <w:rPr>
                <w:rFonts w:ascii="Arial" w:hAnsi="Arial" w:cs="Arial"/>
                <w:color w:val="000000"/>
                <w:highlight w:val="white"/>
              </w:rPr>
            </w:pPr>
          </w:p>
        </w:tc>
        <w:tc>
          <w:tcPr>
            <w:tcW w:w="2884" w:type="dxa"/>
          </w:tcPr>
          <w:p w14:paraId="5BD60592" w14:textId="77777777" w:rsidR="00A17F76" w:rsidRPr="00EA79F7" w:rsidRDefault="00A17F76" w:rsidP="004C79E0">
            <w:pPr>
              <w:jc w:val="both"/>
              <w:rPr>
                <w:rFonts w:ascii="Arial" w:hAnsi="Arial" w:cs="Arial"/>
                <w:color w:val="000000"/>
                <w:highlight w:val="white"/>
              </w:rPr>
            </w:pPr>
          </w:p>
        </w:tc>
        <w:tc>
          <w:tcPr>
            <w:tcW w:w="1899" w:type="dxa"/>
          </w:tcPr>
          <w:p w14:paraId="3CA0A834" w14:textId="77777777" w:rsidR="00A17F76" w:rsidRPr="00EA79F7" w:rsidRDefault="00A17F76" w:rsidP="004C79E0">
            <w:pPr>
              <w:jc w:val="both"/>
              <w:rPr>
                <w:rFonts w:ascii="Arial" w:hAnsi="Arial" w:cs="Arial"/>
                <w:color w:val="000000"/>
                <w:highlight w:val="white"/>
              </w:rPr>
            </w:pPr>
          </w:p>
        </w:tc>
        <w:tc>
          <w:tcPr>
            <w:tcW w:w="1908" w:type="dxa"/>
          </w:tcPr>
          <w:p w14:paraId="7A619786" w14:textId="77777777" w:rsidR="00A17F76" w:rsidRPr="00EA79F7" w:rsidRDefault="00A17F76" w:rsidP="004C79E0">
            <w:pPr>
              <w:jc w:val="both"/>
              <w:rPr>
                <w:rFonts w:ascii="Arial" w:hAnsi="Arial" w:cs="Arial"/>
                <w:color w:val="000000"/>
                <w:highlight w:val="white"/>
              </w:rPr>
            </w:pPr>
          </w:p>
        </w:tc>
        <w:tc>
          <w:tcPr>
            <w:tcW w:w="2337" w:type="dxa"/>
          </w:tcPr>
          <w:p w14:paraId="0CFED835" w14:textId="77777777" w:rsidR="00A17F76" w:rsidRPr="00EA79F7" w:rsidRDefault="00A17F76" w:rsidP="004C79E0">
            <w:pPr>
              <w:jc w:val="both"/>
              <w:rPr>
                <w:rFonts w:ascii="Arial" w:hAnsi="Arial" w:cs="Arial"/>
                <w:color w:val="000000"/>
                <w:highlight w:val="white"/>
              </w:rPr>
            </w:pPr>
          </w:p>
        </w:tc>
        <w:tc>
          <w:tcPr>
            <w:tcW w:w="2380" w:type="dxa"/>
          </w:tcPr>
          <w:p w14:paraId="27B92BB8" w14:textId="77777777" w:rsidR="00A17F76" w:rsidRPr="00EA79F7" w:rsidRDefault="00A17F76" w:rsidP="004C79E0">
            <w:pPr>
              <w:jc w:val="both"/>
              <w:rPr>
                <w:rFonts w:ascii="Arial" w:hAnsi="Arial" w:cs="Arial"/>
                <w:color w:val="000000"/>
                <w:highlight w:val="white"/>
              </w:rPr>
            </w:pPr>
          </w:p>
        </w:tc>
      </w:tr>
      <w:tr w:rsidR="00A17F76" w:rsidRPr="00EA79F7" w14:paraId="6B912310" w14:textId="77777777" w:rsidTr="00A17F76">
        <w:tc>
          <w:tcPr>
            <w:tcW w:w="1830" w:type="dxa"/>
          </w:tcPr>
          <w:p w14:paraId="6DE9E4D4" w14:textId="77777777" w:rsidR="00A17F76" w:rsidRPr="00EA79F7" w:rsidRDefault="00A17F76" w:rsidP="004C79E0">
            <w:pPr>
              <w:jc w:val="both"/>
              <w:rPr>
                <w:rFonts w:ascii="Arial" w:hAnsi="Arial" w:cs="Arial"/>
                <w:color w:val="000000"/>
                <w:highlight w:val="white"/>
              </w:rPr>
            </w:pPr>
          </w:p>
        </w:tc>
        <w:tc>
          <w:tcPr>
            <w:tcW w:w="2639" w:type="dxa"/>
          </w:tcPr>
          <w:p w14:paraId="40FC8BCE" w14:textId="77777777" w:rsidR="00A17F76" w:rsidRPr="00EA79F7" w:rsidRDefault="00A17F76" w:rsidP="004C79E0">
            <w:pPr>
              <w:jc w:val="both"/>
              <w:rPr>
                <w:rFonts w:ascii="Arial" w:hAnsi="Arial" w:cs="Arial"/>
                <w:color w:val="000000"/>
                <w:highlight w:val="white"/>
              </w:rPr>
            </w:pPr>
          </w:p>
        </w:tc>
        <w:tc>
          <w:tcPr>
            <w:tcW w:w="2884" w:type="dxa"/>
          </w:tcPr>
          <w:p w14:paraId="338C422A" w14:textId="77777777" w:rsidR="00A17F76" w:rsidRPr="00EA79F7" w:rsidRDefault="00A17F76" w:rsidP="004C79E0">
            <w:pPr>
              <w:jc w:val="both"/>
              <w:rPr>
                <w:rFonts w:ascii="Arial" w:hAnsi="Arial" w:cs="Arial"/>
                <w:color w:val="000000"/>
                <w:highlight w:val="white"/>
              </w:rPr>
            </w:pPr>
          </w:p>
        </w:tc>
        <w:tc>
          <w:tcPr>
            <w:tcW w:w="1899" w:type="dxa"/>
          </w:tcPr>
          <w:p w14:paraId="26D3276A" w14:textId="77777777" w:rsidR="00A17F76" w:rsidRPr="00EA79F7" w:rsidRDefault="00A17F76" w:rsidP="004C79E0">
            <w:pPr>
              <w:jc w:val="both"/>
              <w:rPr>
                <w:rFonts w:ascii="Arial" w:hAnsi="Arial" w:cs="Arial"/>
                <w:color w:val="000000"/>
                <w:highlight w:val="white"/>
              </w:rPr>
            </w:pPr>
          </w:p>
        </w:tc>
        <w:tc>
          <w:tcPr>
            <w:tcW w:w="1908" w:type="dxa"/>
          </w:tcPr>
          <w:p w14:paraId="0D9BE567" w14:textId="77777777" w:rsidR="00A17F76" w:rsidRPr="00EA79F7" w:rsidRDefault="00A17F76" w:rsidP="004C79E0">
            <w:pPr>
              <w:jc w:val="both"/>
              <w:rPr>
                <w:rFonts w:ascii="Arial" w:hAnsi="Arial" w:cs="Arial"/>
                <w:color w:val="000000"/>
                <w:highlight w:val="white"/>
              </w:rPr>
            </w:pPr>
          </w:p>
        </w:tc>
        <w:tc>
          <w:tcPr>
            <w:tcW w:w="2337" w:type="dxa"/>
          </w:tcPr>
          <w:p w14:paraId="30BC565E" w14:textId="77777777" w:rsidR="00A17F76" w:rsidRPr="00EA79F7" w:rsidRDefault="00A17F76" w:rsidP="004C79E0">
            <w:pPr>
              <w:jc w:val="both"/>
              <w:rPr>
                <w:rFonts w:ascii="Arial" w:hAnsi="Arial" w:cs="Arial"/>
                <w:color w:val="000000"/>
                <w:highlight w:val="white"/>
              </w:rPr>
            </w:pPr>
          </w:p>
        </w:tc>
        <w:tc>
          <w:tcPr>
            <w:tcW w:w="2380" w:type="dxa"/>
          </w:tcPr>
          <w:p w14:paraId="444A2598" w14:textId="77777777" w:rsidR="00A17F76" w:rsidRPr="00EA79F7" w:rsidRDefault="00A17F76" w:rsidP="004C79E0">
            <w:pPr>
              <w:jc w:val="both"/>
              <w:rPr>
                <w:rFonts w:ascii="Arial" w:hAnsi="Arial" w:cs="Arial"/>
                <w:color w:val="000000"/>
                <w:highlight w:val="white"/>
              </w:rPr>
            </w:pPr>
          </w:p>
        </w:tc>
      </w:tr>
      <w:tr w:rsidR="00A17F76" w:rsidRPr="00EA79F7" w14:paraId="292F4C1F" w14:textId="77777777" w:rsidTr="00A17F76">
        <w:tc>
          <w:tcPr>
            <w:tcW w:w="1830" w:type="dxa"/>
          </w:tcPr>
          <w:p w14:paraId="39FB1DC4" w14:textId="77777777" w:rsidR="00A17F76" w:rsidRPr="00EA79F7" w:rsidRDefault="00A17F76" w:rsidP="004C79E0">
            <w:pPr>
              <w:jc w:val="both"/>
              <w:rPr>
                <w:rFonts w:ascii="Arial" w:hAnsi="Arial" w:cs="Arial"/>
                <w:color w:val="000000"/>
                <w:highlight w:val="white"/>
              </w:rPr>
            </w:pPr>
          </w:p>
        </w:tc>
        <w:tc>
          <w:tcPr>
            <w:tcW w:w="2639" w:type="dxa"/>
          </w:tcPr>
          <w:p w14:paraId="71B1B2E7" w14:textId="77777777" w:rsidR="00A17F76" w:rsidRPr="00EA79F7" w:rsidRDefault="00A17F76" w:rsidP="004C79E0">
            <w:pPr>
              <w:jc w:val="both"/>
              <w:rPr>
                <w:rFonts w:ascii="Arial" w:hAnsi="Arial" w:cs="Arial"/>
                <w:color w:val="000000"/>
                <w:highlight w:val="white"/>
              </w:rPr>
            </w:pPr>
          </w:p>
        </w:tc>
        <w:tc>
          <w:tcPr>
            <w:tcW w:w="2884" w:type="dxa"/>
          </w:tcPr>
          <w:p w14:paraId="49294BCB" w14:textId="77777777" w:rsidR="00A17F76" w:rsidRPr="00EA79F7" w:rsidRDefault="00A17F76" w:rsidP="004C79E0">
            <w:pPr>
              <w:jc w:val="both"/>
              <w:rPr>
                <w:rFonts w:ascii="Arial" w:hAnsi="Arial" w:cs="Arial"/>
                <w:color w:val="000000"/>
                <w:highlight w:val="white"/>
              </w:rPr>
            </w:pPr>
          </w:p>
        </w:tc>
        <w:tc>
          <w:tcPr>
            <w:tcW w:w="1899" w:type="dxa"/>
          </w:tcPr>
          <w:p w14:paraId="504D7899" w14:textId="77777777" w:rsidR="00A17F76" w:rsidRPr="00EA79F7" w:rsidRDefault="00A17F76" w:rsidP="004C79E0">
            <w:pPr>
              <w:jc w:val="both"/>
              <w:rPr>
                <w:rFonts w:ascii="Arial" w:hAnsi="Arial" w:cs="Arial"/>
                <w:color w:val="000000"/>
                <w:highlight w:val="white"/>
              </w:rPr>
            </w:pPr>
          </w:p>
        </w:tc>
        <w:tc>
          <w:tcPr>
            <w:tcW w:w="1908" w:type="dxa"/>
          </w:tcPr>
          <w:p w14:paraId="471854DB" w14:textId="77777777" w:rsidR="00A17F76" w:rsidRPr="00EA79F7" w:rsidRDefault="00A17F76" w:rsidP="004C79E0">
            <w:pPr>
              <w:jc w:val="both"/>
              <w:rPr>
                <w:rFonts w:ascii="Arial" w:hAnsi="Arial" w:cs="Arial"/>
                <w:color w:val="000000"/>
                <w:highlight w:val="white"/>
              </w:rPr>
            </w:pPr>
          </w:p>
        </w:tc>
        <w:tc>
          <w:tcPr>
            <w:tcW w:w="2337" w:type="dxa"/>
          </w:tcPr>
          <w:p w14:paraId="0B7C3625" w14:textId="77777777" w:rsidR="00A17F76" w:rsidRPr="00EA79F7" w:rsidRDefault="00A17F76" w:rsidP="004C79E0">
            <w:pPr>
              <w:jc w:val="both"/>
              <w:rPr>
                <w:rFonts w:ascii="Arial" w:hAnsi="Arial" w:cs="Arial"/>
                <w:color w:val="000000"/>
                <w:highlight w:val="white"/>
              </w:rPr>
            </w:pPr>
          </w:p>
        </w:tc>
        <w:tc>
          <w:tcPr>
            <w:tcW w:w="2380" w:type="dxa"/>
          </w:tcPr>
          <w:p w14:paraId="3735E217" w14:textId="77777777" w:rsidR="00A17F76" w:rsidRPr="00EA79F7" w:rsidRDefault="00A17F76" w:rsidP="004C79E0">
            <w:pPr>
              <w:jc w:val="both"/>
              <w:rPr>
                <w:rFonts w:ascii="Arial" w:hAnsi="Arial" w:cs="Arial"/>
                <w:color w:val="000000"/>
                <w:highlight w:val="white"/>
              </w:rPr>
            </w:pPr>
          </w:p>
        </w:tc>
      </w:tr>
    </w:tbl>
    <w:p w14:paraId="7AC41185" w14:textId="77777777" w:rsidR="00A17F76" w:rsidRDefault="00A17F76" w:rsidP="0031309D">
      <w:pPr>
        <w:spacing w:after="120" w:line="240" w:lineRule="auto"/>
        <w:jc w:val="both"/>
        <w:rPr>
          <w:color w:val="000000"/>
          <w:highlight w:val="white"/>
        </w:rPr>
      </w:pPr>
    </w:p>
    <w:p w14:paraId="2EDC69E8" w14:textId="1FA37660" w:rsidR="0031309D" w:rsidRDefault="0031309D" w:rsidP="0031309D"/>
    <w:sectPr w:rsidR="0031309D" w:rsidSect="00B83A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6C31" w14:textId="77777777" w:rsidR="00121B83" w:rsidRDefault="00AC0AAC">
      <w:pPr>
        <w:spacing w:after="0" w:line="240" w:lineRule="auto"/>
      </w:pPr>
      <w:r>
        <w:separator/>
      </w:r>
    </w:p>
  </w:endnote>
  <w:endnote w:type="continuationSeparator" w:id="0">
    <w:p w14:paraId="2CABB6F5" w14:textId="77777777" w:rsidR="00121B83" w:rsidRDefault="00AC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9685" w14:textId="3182DBDC" w:rsidR="002D602C" w:rsidRDefault="0031309D" w:rsidP="002D602C">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r>
      <w:rPr>
        <w:rFonts w:ascii="Arial" w:eastAsia="Arial" w:hAnsi="Arial" w:cs="Arial"/>
        <w:sz w:val="16"/>
        <w:szCs w:val="16"/>
      </w:rPr>
      <w:t xml:space="preserve">© </w:t>
    </w:r>
    <w:r w:rsidR="00016F07">
      <w:rPr>
        <w:rFonts w:ascii="Arial" w:eastAsia="Arial" w:hAnsi="Arial" w:cs="Arial"/>
        <w:sz w:val="16"/>
        <w:szCs w:val="16"/>
      </w:rPr>
      <w:t xml:space="preserve">Briefed Ltd </w:t>
    </w:r>
    <w:r>
      <w:rPr>
        <w:rFonts w:ascii="Arial" w:eastAsia="Arial" w:hAnsi="Arial" w:cs="Arial"/>
        <w:sz w:val="16"/>
        <w:szCs w:val="16"/>
      </w:rPr>
      <w:t>20</w:t>
    </w:r>
    <w:r w:rsidR="00BF7063">
      <w:rPr>
        <w:rFonts w:ascii="Arial" w:eastAsia="Arial" w:hAnsi="Arial" w:cs="Arial"/>
        <w:sz w:val="16"/>
        <w:szCs w:val="16"/>
      </w:rPr>
      <w:t>2</w:t>
    </w:r>
    <w:r w:rsidR="00016F07">
      <w:rPr>
        <w:rFonts w:ascii="Arial" w:eastAsia="Arial" w:hAnsi="Arial" w:cs="Arial"/>
        <w:sz w:val="16"/>
        <w:szCs w:val="16"/>
      </w:rPr>
      <w:t>3</w:t>
    </w:r>
    <w:r>
      <w:rPr>
        <w:rFonts w:ascii="Arial" w:eastAsia="Arial" w:hAnsi="Arial" w:cs="Arial"/>
        <w:sz w:val="16"/>
        <w:szCs w:val="16"/>
      </w:rPr>
      <w:t xml:space="preserve"> All Rights Reserved</w:t>
    </w:r>
  </w:p>
  <w:p w14:paraId="7E5E3957" w14:textId="77777777" w:rsidR="002D602C" w:rsidRDefault="00E97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2E34" w14:textId="77777777" w:rsidR="00121B83" w:rsidRDefault="00AC0AAC">
      <w:pPr>
        <w:spacing w:after="0" w:line="240" w:lineRule="auto"/>
      </w:pPr>
      <w:r>
        <w:separator/>
      </w:r>
    </w:p>
  </w:footnote>
  <w:footnote w:type="continuationSeparator" w:id="0">
    <w:p w14:paraId="1B9EECFA" w14:textId="77777777" w:rsidR="00121B83" w:rsidRDefault="00AC0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90D3" w14:textId="77777777" w:rsidR="00016F07" w:rsidRDefault="0031309D">
    <w:pPr>
      <w:pStyle w:val="Header"/>
    </w:pPr>
    <w:r>
      <w:rPr>
        <w:rFonts w:ascii="Helvetica Neue" w:eastAsia="Helvetica Neue" w:hAnsi="Helvetica Neue" w:cs="Helvetica Neue"/>
        <w:noProof/>
        <w:color w:val="000000"/>
        <w:sz w:val="24"/>
        <w:szCs w:val="24"/>
      </w:rPr>
      <w:drawing>
        <wp:anchor distT="0" distB="0" distL="114300" distR="114300" simplePos="0" relativeHeight="251658240" behindDoc="1" locked="0" layoutInCell="1" allowOverlap="1" wp14:anchorId="73D527A7" wp14:editId="7D5E61A6">
          <wp:simplePos x="0" y="0"/>
          <wp:positionH relativeFrom="column">
            <wp:posOffset>0</wp:posOffset>
          </wp:positionH>
          <wp:positionV relativeFrom="paragraph">
            <wp:posOffset>1270</wp:posOffset>
          </wp:positionV>
          <wp:extent cx="958850" cy="400050"/>
          <wp:effectExtent l="0" t="0" r="0" b="0"/>
          <wp:wrapTight wrapText="bothSides">
            <wp:wrapPolygon edited="0">
              <wp:start x="0" y="2057"/>
              <wp:lineTo x="0" y="18514"/>
              <wp:lineTo x="20170" y="18514"/>
              <wp:lineTo x="20599" y="15429"/>
              <wp:lineTo x="20599" y="6171"/>
              <wp:lineTo x="20170" y="2057"/>
              <wp:lineTo x="0" y="2057"/>
            </wp:wrapPolygon>
          </wp:wrapTight>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58850" cy="400050"/>
                  </a:xfrm>
                  <a:prstGeom prst="rect">
                    <a:avLst/>
                  </a:prstGeom>
                  <a:ln/>
                </pic:spPr>
              </pic:pic>
            </a:graphicData>
          </a:graphic>
          <wp14:sizeRelH relativeFrom="page">
            <wp14:pctWidth>0</wp14:pctWidth>
          </wp14:sizeRelH>
          <wp14:sizeRelV relativeFrom="page">
            <wp14:pctHeight>0</wp14:pctHeight>
          </wp14:sizeRelV>
        </wp:anchor>
      </w:drawing>
    </w:r>
    <w:r w:rsidR="00BF7063">
      <w:t xml:space="preserve">                                                                                                   </w:t>
    </w:r>
    <w:r w:rsidR="00C0397B">
      <w:t xml:space="preserve"> </w:t>
    </w:r>
    <w:r w:rsidR="00016F07">
      <w:t xml:space="preserve"> </w:t>
    </w:r>
    <w:r w:rsidR="00C0397B">
      <w:t>Data Processed Register</w:t>
    </w:r>
    <w:r w:rsidR="00BF7063">
      <w:t xml:space="preserve">    </w:t>
    </w:r>
  </w:p>
  <w:p w14:paraId="107A8B0A" w14:textId="77777777" w:rsidR="00016F07" w:rsidRDefault="00016F07">
    <w:pPr>
      <w:pStyle w:val="Header"/>
    </w:pPr>
  </w:p>
  <w:p w14:paraId="1AA9E938" w14:textId="0954ACEC" w:rsidR="002D602C" w:rsidRDefault="00BF7063">
    <w:pPr>
      <w:pStyle w:val="Header"/>
    </w:pPr>
    <w:r>
      <w:t xml:space="preserve">                                                                                </w:t>
    </w:r>
    <w:r w:rsidR="00CD4459">
      <w:t xml:space="preserve">  </w:t>
    </w:r>
  </w:p>
  <w:p w14:paraId="0364D39A" w14:textId="77777777" w:rsidR="002D602C" w:rsidRDefault="00E97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840C9"/>
    <w:multiLevelType w:val="hybridMultilevel"/>
    <w:tmpl w:val="4CA49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472649"/>
    <w:multiLevelType w:val="hybridMultilevel"/>
    <w:tmpl w:val="C7F6C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0F10E7"/>
    <w:multiLevelType w:val="multilevel"/>
    <w:tmpl w:val="257C7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4C21B2"/>
    <w:multiLevelType w:val="hybridMultilevel"/>
    <w:tmpl w:val="D42633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220FE5"/>
    <w:multiLevelType w:val="multilevel"/>
    <w:tmpl w:val="DBE80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12328">
    <w:abstractNumId w:val="3"/>
  </w:num>
  <w:num w:numId="2" w16cid:durableId="1029991493">
    <w:abstractNumId w:val="4"/>
  </w:num>
  <w:num w:numId="3" w16cid:durableId="102115874">
    <w:abstractNumId w:val="2"/>
  </w:num>
  <w:num w:numId="4" w16cid:durableId="1496805130">
    <w:abstractNumId w:val="0"/>
  </w:num>
  <w:num w:numId="5" w16cid:durableId="1767849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9D"/>
    <w:rsid w:val="00016F07"/>
    <w:rsid w:val="00121B83"/>
    <w:rsid w:val="0031309D"/>
    <w:rsid w:val="004C1244"/>
    <w:rsid w:val="006866C6"/>
    <w:rsid w:val="00707068"/>
    <w:rsid w:val="00753015"/>
    <w:rsid w:val="00805360"/>
    <w:rsid w:val="00A17F76"/>
    <w:rsid w:val="00A62272"/>
    <w:rsid w:val="00AC0AAC"/>
    <w:rsid w:val="00BF7063"/>
    <w:rsid w:val="00C0397B"/>
    <w:rsid w:val="00CD4459"/>
    <w:rsid w:val="00D24F49"/>
    <w:rsid w:val="00E55DF7"/>
    <w:rsid w:val="00E57916"/>
    <w:rsid w:val="00E9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6EF0E"/>
  <w15:chartTrackingRefBased/>
  <w15:docId w15:val="{D5A3292B-63B4-4E6B-BB9C-592F2BB1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309D"/>
    <w:rPr>
      <w:rFonts w:ascii="Calibri" w:eastAsia="Calibri" w:hAnsi="Calibri" w:cs="Calibri"/>
      <w:lang w:eastAsia="en-GB"/>
    </w:rPr>
  </w:style>
  <w:style w:type="paragraph" w:styleId="Heading1">
    <w:name w:val="heading 1"/>
    <w:basedOn w:val="Normal"/>
    <w:next w:val="Normal"/>
    <w:link w:val="Heading1Char"/>
    <w:uiPriority w:val="9"/>
    <w:qFormat/>
    <w:rsid w:val="00313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31309D"/>
    <w:pPr>
      <w:keepNext/>
      <w:pBdr>
        <w:top w:val="nil"/>
        <w:left w:val="nil"/>
        <w:bottom w:val="nil"/>
        <w:right w:val="nil"/>
        <w:between w:val="nil"/>
      </w:pBdr>
      <w:spacing w:after="0" w:line="240" w:lineRule="auto"/>
      <w:outlineLvl w:val="1"/>
    </w:pPr>
    <w:rPr>
      <w:rFonts w:ascii="Arial" w:eastAsia="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09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31309D"/>
    <w:rPr>
      <w:rFonts w:ascii="Arial" w:eastAsia="Arial" w:hAnsi="Arial" w:cs="Arial"/>
      <w:b/>
      <w:color w:val="000000"/>
      <w:sz w:val="24"/>
      <w:szCs w:val="24"/>
      <w:lang w:eastAsia="en-GB"/>
    </w:rPr>
  </w:style>
  <w:style w:type="paragraph" w:styleId="Header">
    <w:name w:val="header"/>
    <w:basedOn w:val="Normal"/>
    <w:link w:val="HeaderChar"/>
    <w:uiPriority w:val="99"/>
    <w:unhideWhenUsed/>
    <w:rsid w:val="00313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9D"/>
    <w:rPr>
      <w:rFonts w:ascii="Calibri" w:eastAsia="Calibri" w:hAnsi="Calibri" w:cs="Calibri"/>
      <w:lang w:eastAsia="en-GB"/>
    </w:rPr>
  </w:style>
  <w:style w:type="paragraph" w:styleId="Footer">
    <w:name w:val="footer"/>
    <w:basedOn w:val="Normal"/>
    <w:link w:val="FooterChar"/>
    <w:uiPriority w:val="99"/>
    <w:unhideWhenUsed/>
    <w:rsid w:val="00313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9D"/>
    <w:rPr>
      <w:rFonts w:ascii="Calibri" w:eastAsia="Calibri" w:hAnsi="Calibri" w:cs="Calibri"/>
      <w:lang w:eastAsia="en-GB"/>
    </w:rPr>
  </w:style>
  <w:style w:type="paragraph" w:styleId="ListParagraph">
    <w:name w:val="List Paragraph"/>
    <w:basedOn w:val="Normal"/>
    <w:uiPriority w:val="34"/>
    <w:qFormat/>
    <w:rsid w:val="0031309D"/>
    <w:pPr>
      <w:spacing w:after="0" w:line="240" w:lineRule="auto"/>
      <w:ind w:left="720"/>
      <w:contextualSpacing/>
    </w:pPr>
    <w:rPr>
      <w:rFonts w:asciiTheme="minorHAnsi" w:eastAsiaTheme="minorHAnsi" w:hAnsiTheme="minorHAnsi" w:cstheme="minorBidi"/>
      <w:sz w:val="24"/>
      <w:szCs w:val="24"/>
      <w:lang w:eastAsia="en-US"/>
    </w:rPr>
  </w:style>
  <w:style w:type="table" w:styleId="TableGrid">
    <w:name w:val="Table Grid"/>
    <w:basedOn w:val="TableNormal"/>
    <w:uiPriority w:val="39"/>
    <w:rsid w:val="00A1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F49"/>
    <w:rPr>
      <w:color w:val="0563C1" w:themeColor="hyperlink"/>
      <w:u w:val="single"/>
    </w:rPr>
  </w:style>
  <w:style w:type="character" w:styleId="UnresolvedMention">
    <w:name w:val="Unresolved Mention"/>
    <w:basedOn w:val="DefaultParagraphFont"/>
    <w:uiPriority w:val="99"/>
    <w:semiHidden/>
    <w:unhideWhenUsed/>
    <w:rsid w:val="00D24F49"/>
    <w:rPr>
      <w:color w:val="605E5C"/>
      <w:shd w:val="clear" w:color="auto" w:fill="E1DFDD"/>
    </w:rPr>
  </w:style>
  <w:style w:type="paragraph" w:customStyle="1" w:styleId="paragraph">
    <w:name w:val="paragraph"/>
    <w:basedOn w:val="Normal"/>
    <w:rsid w:val="00E55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5DF7"/>
  </w:style>
  <w:style w:type="character" w:customStyle="1" w:styleId="eop">
    <w:name w:val="eop"/>
    <w:basedOn w:val="DefaultParagraphFont"/>
    <w:rsid w:val="00E5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dpr-info.eu/art-89-gdp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guide-to-the-general-data-protection-regulation-gdpr/lawful-basis-for-process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7" ma:contentTypeDescription="Create a new document." ma:contentTypeScope="" ma:versionID="f8d25f2f660184c1a0e6893465e7cd39">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6634d791fea4c47ee9d1b256e63589dd"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6BB2B-4419-423F-BEC6-59BFEE0B9B00}">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2.xml><?xml version="1.0" encoding="utf-8"?>
<ds:datastoreItem xmlns:ds="http://schemas.openxmlformats.org/officeDocument/2006/customXml" ds:itemID="{C072BE37-09F2-45CD-B879-8F05E3CB181F}">
  <ds:schemaRefs>
    <ds:schemaRef ds:uri="http://schemas.openxmlformats.org/officeDocument/2006/bibliography"/>
  </ds:schemaRefs>
</ds:datastoreItem>
</file>

<file path=customXml/itemProps3.xml><?xml version="1.0" encoding="utf-8"?>
<ds:datastoreItem xmlns:ds="http://schemas.openxmlformats.org/officeDocument/2006/customXml" ds:itemID="{2244F20F-905B-4EAF-94D3-DBEB3852BB5F}">
  <ds:schemaRefs>
    <ds:schemaRef ds:uri="http://schemas.microsoft.com/sharepoint/v3/contenttype/forms"/>
  </ds:schemaRefs>
</ds:datastoreItem>
</file>

<file path=customXml/itemProps4.xml><?xml version="1.0" encoding="utf-8"?>
<ds:datastoreItem xmlns:ds="http://schemas.openxmlformats.org/officeDocument/2006/customXml" ds:itemID="{AA3431C5-BFE7-4E51-AC87-09851B295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1262</Words>
  <Characters>6631</Characters>
  <Application>Microsoft Office Word</Application>
  <DocSecurity>0</DocSecurity>
  <Lines>736</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McGreevy</dc:creator>
  <cp:keywords/>
  <dc:description/>
  <cp:lastModifiedBy>Georgia Bourke</cp:lastModifiedBy>
  <cp:revision>16</cp:revision>
  <dcterms:created xsi:type="dcterms:W3CDTF">2018-11-09T10:45:00Z</dcterms:created>
  <dcterms:modified xsi:type="dcterms:W3CDTF">2023-01-08T18:33:00Z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Order">
    <vt:r8>19800</vt:r8>
  </property>
  <property fmtid="{D5CDD505-2E9C-101B-9397-08002B2CF9AE}" pid="4" name="MediaServiceImageTags">
    <vt:lpwstr/>
  </property>
</Properties>
</file>